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3EB3C">
      <w:pPr>
        <w:jc w:val="center"/>
        <w:rPr>
          <w:rFonts w:ascii="Arial" w:hAnsi="Arial" w:cs="Arial"/>
          <w:b/>
          <w:sz w:val="28"/>
          <w:szCs w:val="28"/>
          <w:lang w:val="pt-BR"/>
        </w:rPr>
      </w:pPr>
      <w:bookmarkStart w:id="0" w:name="_Hlk488325147"/>
      <w:r>
        <w:rPr>
          <w:rFonts w:ascii="Arial" w:hAnsi="Arial" w:cs="Arial"/>
          <w:b/>
          <w:sz w:val="28"/>
          <w:szCs w:val="28"/>
          <w:lang w:val="pt-BR"/>
        </w:rPr>
        <w:t>C U R R I C U L U M  V I T A E</w:t>
      </w:r>
    </w:p>
    <w:p w14:paraId="27043451">
      <w:pPr>
        <w:jc w:val="center"/>
        <w:rPr>
          <w:rFonts w:ascii="Arial" w:hAnsi="Arial" w:cs="Arial"/>
          <w:b/>
          <w:sz w:val="28"/>
          <w:szCs w:val="28"/>
          <w:lang w:val="pt-BR"/>
        </w:rPr>
      </w:pPr>
    </w:p>
    <w:p w14:paraId="3F501356">
      <w:pPr>
        <w:pStyle w:val="8"/>
      </w:pPr>
      <w:r>
        <w:rPr>
          <w:rFonts w:ascii="Arial" w:hAnsi="Arial" w:cs="Arial"/>
          <w:b/>
          <w:bCs/>
          <w:sz w:val="28"/>
          <w:szCs w:val="28"/>
        </w:rPr>
        <w:t>Dr. Waqar Rauf</w:t>
      </w:r>
      <w:r>
        <w:t xml:space="preserve"> </w:t>
      </w:r>
    </w:p>
    <w:p w14:paraId="4D266A55">
      <w:pPr>
        <w:pStyle w:val="8"/>
        <w:rPr>
          <w:rFonts w:ascii="Arial" w:hAnsi="Arial" w:cs="Arial"/>
          <w:sz w:val="22"/>
          <w:szCs w:val="22"/>
          <w:lang w:val="en-US"/>
        </w:rPr>
      </w:pPr>
      <w:r>
        <w:rPr>
          <w:rFonts w:ascii="Arial" w:hAnsi="Arial" w:cs="Arial"/>
          <w:sz w:val="22"/>
          <w:szCs w:val="22"/>
          <w:lang w:val="en-US"/>
        </w:rPr>
        <w:t>Principal Scientist</w:t>
      </w:r>
    </w:p>
    <w:p w14:paraId="55CA23CE">
      <w:pPr>
        <w:pStyle w:val="8"/>
        <w:keepNext w:val="0"/>
        <w:keepLines w:val="0"/>
        <w:pageBreakBefore w:val="0"/>
        <w:widowControl/>
        <w:kinsoku/>
        <w:wordWrap/>
        <w:overflowPunct/>
        <w:topLinePunct w:val="0"/>
        <w:autoSpaceDE/>
        <w:autoSpaceDN/>
        <w:bidi w:val="0"/>
        <w:adjustRightInd/>
        <w:snapToGrid/>
        <w:spacing w:after="120" w:afterAutospacing="0"/>
        <w:textAlignment w:val="auto"/>
        <w:rPr>
          <w:rFonts w:ascii="Arial" w:hAnsi="Arial" w:cs="Arial"/>
          <w:lang w:val="en-US"/>
        </w:rPr>
      </w:pPr>
      <w:r>
        <w:rPr>
          <w:rFonts w:hint="default" w:ascii="Arial" w:hAnsi="Arial" w:cs="Arial"/>
          <w:sz w:val="20"/>
          <w:szCs w:val="20"/>
          <w:lang w:val="en-US"/>
        </w:rPr>
        <w:t xml:space="preserve">Group Leader, </w:t>
      </w:r>
      <w:r>
        <w:rPr>
          <w:rFonts w:ascii="Arial" w:hAnsi="Arial" w:cs="Arial"/>
          <w:sz w:val="20"/>
          <w:szCs w:val="20"/>
          <w:lang w:val="en-US"/>
        </w:rPr>
        <w:t>Drug Discovery and Structural Biology Group</w:t>
      </w:r>
    </w:p>
    <w:p w14:paraId="46CC8960">
      <w:pPr>
        <w:rPr>
          <w:rFonts w:ascii="Arial" w:hAnsi="Arial" w:cs="Arial"/>
          <w:lang w:val="en-US"/>
        </w:rPr>
      </w:pPr>
      <w:r>
        <w:rPr>
          <w:rFonts w:ascii="Arial" w:hAnsi="Arial" w:cs="Arial"/>
          <w:lang w:val="en-US"/>
        </w:rPr>
        <w:t>Health Biotechnology Division</w:t>
      </w:r>
    </w:p>
    <w:p w14:paraId="2FBF0529">
      <w:pPr>
        <w:rPr>
          <w:rFonts w:ascii="Arial" w:hAnsi="Arial" w:cs="Arial"/>
          <w:lang w:val="en-US"/>
        </w:rPr>
      </w:pPr>
      <w:r>
        <w:rPr>
          <w:rFonts w:ascii="Arial" w:hAnsi="Arial" w:cs="Arial"/>
          <w:lang w:val="en-US"/>
        </w:rPr>
        <w:t xml:space="preserve">National Institute for Biotechnology and Genetic Engineering (NIBGE-C), </w:t>
      </w:r>
    </w:p>
    <w:p w14:paraId="4E35D534">
      <w:pPr>
        <w:rPr>
          <w:rFonts w:ascii="Arial" w:hAnsi="Arial" w:cs="Arial"/>
          <w:lang w:val="en-US"/>
        </w:rPr>
      </w:pPr>
      <w:r>
        <w:rPr>
          <w:rFonts w:ascii="Arial" w:hAnsi="Arial" w:cs="Arial"/>
          <w:lang w:val="en-US"/>
        </w:rPr>
        <w:t>Pakistan Institute of Engineering and Applied Sciences (PIEAS)</w:t>
      </w:r>
    </w:p>
    <w:p w14:paraId="02410788">
      <w:pPr>
        <w:rPr>
          <w:rFonts w:ascii="Arial" w:hAnsi="Arial" w:cs="Arial"/>
          <w:lang w:val="en-US"/>
        </w:rPr>
      </w:pPr>
      <w:r>
        <w:rPr>
          <w:rFonts w:ascii="Arial" w:hAnsi="Arial" w:cs="Arial"/>
          <w:lang w:val="en-US"/>
        </w:rPr>
        <w:t>Address: NIBGE, PO Box 577, Jhang Road Faisalabad, Pakistan</w:t>
      </w:r>
    </w:p>
    <w:p w14:paraId="13CAA581">
      <w:pPr>
        <w:rPr>
          <w:rFonts w:ascii="Arial" w:hAnsi="Arial" w:cs="Arial"/>
          <w:color w:val="0000FF"/>
          <w:lang w:val="pt-BR"/>
        </w:rPr>
      </w:pPr>
      <w:r>
        <w:rPr>
          <w:rFonts w:ascii="Arial" w:hAnsi="Arial" w:cs="Arial"/>
          <w:lang w:val="pt-BR"/>
        </w:rPr>
        <w:t xml:space="preserve">E-mail: </w:t>
      </w:r>
      <w:r>
        <w:fldChar w:fldCharType="begin"/>
      </w:r>
      <w:r>
        <w:instrText xml:space="preserve">HYPERLINK "mailto:wadhamite@gmail.com"</w:instrText>
      </w:r>
      <w:r>
        <w:fldChar w:fldCharType="separate"/>
      </w:r>
      <w:r>
        <w:rPr>
          <w:rStyle w:val="7"/>
          <w:rFonts w:ascii="Arial" w:hAnsi="Arial" w:cs="Arial"/>
          <w:lang w:val="pt-BR"/>
        </w:rPr>
        <w:t>wadhamite@gmail.com</w:t>
      </w:r>
      <w:r>
        <w:rPr>
          <w:rStyle w:val="7"/>
          <w:rFonts w:ascii="Arial" w:hAnsi="Arial" w:cs="Arial"/>
          <w:lang w:val="pt-BR"/>
        </w:rPr>
        <w:fldChar w:fldCharType="end"/>
      </w:r>
      <w:r>
        <w:rPr>
          <w:rFonts w:ascii="Arial" w:hAnsi="Arial" w:cs="Arial"/>
        </w:rPr>
        <w:t xml:space="preserve">, </w:t>
      </w:r>
      <w:r>
        <w:fldChar w:fldCharType="begin"/>
      </w:r>
      <w:r>
        <w:instrText xml:space="preserve">HYPERLINK "mailto:waqar.rauf@wadh.oxon.org"</w:instrText>
      </w:r>
      <w:r>
        <w:fldChar w:fldCharType="separate"/>
      </w:r>
      <w:r>
        <w:rPr>
          <w:rStyle w:val="7"/>
          <w:rFonts w:ascii="Arial" w:hAnsi="Arial" w:cs="Arial"/>
          <w:lang w:val="pt-BR"/>
        </w:rPr>
        <w:t>waqar.rauf@wadh.oxon.org</w:t>
      </w:r>
      <w:r>
        <w:rPr>
          <w:rStyle w:val="7"/>
          <w:rFonts w:ascii="Arial" w:hAnsi="Arial" w:cs="Arial"/>
          <w:lang w:val="pt-BR"/>
        </w:rPr>
        <w:fldChar w:fldCharType="end"/>
      </w:r>
      <w:r>
        <w:rPr>
          <w:rFonts w:ascii="Arial" w:hAnsi="Arial" w:cs="Arial"/>
        </w:rPr>
        <w:t xml:space="preserve">, </w:t>
      </w:r>
      <w:r>
        <w:fldChar w:fldCharType="begin"/>
      </w:r>
      <w:r>
        <w:instrText xml:space="preserve">HYPERLINK "mailto:waqar.rauf@nibge.org"</w:instrText>
      </w:r>
      <w:r>
        <w:fldChar w:fldCharType="separate"/>
      </w:r>
      <w:r>
        <w:rPr>
          <w:rStyle w:val="7"/>
          <w:rFonts w:ascii="Arial" w:hAnsi="Arial" w:cs="Arial"/>
          <w:lang w:val="pt-BR"/>
        </w:rPr>
        <w:t>waqar.rauf@nibge.org</w:t>
      </w:r>
      <w:r>
        <w:rPr>
          <w:rStyle w:val="7"/>
          <w:rFonts w:ascii="Arial" w:hAnsi="Arial" w:cs="Arial"/>
          <w:lang w:val="pt-BR"/>
        </w:rPr>
        <w:fldChar w:fldCharType="end"/>
      </w:r>
    </w:p>
    <w:p w14:paraId="603C0913">
      <w:pPr>
        <w:rPr>
          <w:rFonts w:ascii="Arial" w:hAnsi="Arial" w:cs="Arial"/>
          <w:lang w:val="pt-BR"/>
        </w:rPr>
      </w:pPr>
      <w:r>
        <w:rPr>
          <w:rFonts w:ascii="Arial" w:hAnsi="Arial" w:cs="Arial"/>
          <w:lang w:val="pt-BR"/>
        </w:rPr>
        <w:t>Cell: 03336615560, Ph Off: +92 41 9201407, +92 41 9201316-19 Ext. 3299</w:t>
      </w:r>
    </w:p>
    <w:p w14:paraId="7A350C1E">
      <w:pPr>
        <w:jc w:val="both"/>
        <w:rPr>
          <w:rFonts w:ascii="Arial" w:hAnsi="Arial" w:eastAsia="Courier New" w:cs="Arial"/>
          <w:b/>
          <w:bCs/>
          <w:sz w:val="24"/>
          <w:szCs w:val="24"/>
          <w:lang w:val="en-US"/>
        </w:rPr>
      </w:pPr>
    </w:p>
    <w:p w14:paraId="2173E684">
      <w:pPr>
        <w:pStyle w:val="2"/>
        <w:rPr>
          <w:rFonts w:ascii="Arial" w:hAnsi="Arial" w:cs="Arial"/>
          <w:lang w:val="en-US"/>
        </w:rPr>
      </w:pPr>
      <w:r>
        <w:rPr>
          <w:rFonts w:ascii="Arial" w:hAnsi="Arial" w:cs="Arial"/>
          <w:lang w:val="en-US"/>
        </w:rPr>
        <w:t>Education</w:t>
      </w:r>
    </w:p>
    <w:p w14:paraId="291CF099">
      <w:pPr>
        <w:rPr>
          <w:rFonts w:ascii="Arial" w:hAnsi="Arial" w:cs="Arial"/>
          <w:b/>
          <w:bCs/>
          <w:sz w:val="22"/>
          <w:szCs w:val="22"/>
          <w:lang w:val="en-US"/>
        </w:rPr>
      </w:pPr>
      <w:r>
        <w:rPr>
          <w:rFonts w:ascii="Arial" w:hAnsi="Arial" w:cs="Arial"/>
          <w:bCs/>
          <w:sz w:val="22"/>
          <w:szCs w:val="22"/>
          <w:lang w:val="en-US"/>
        </w:rPr>
        <w:t>-----------------------------------------------------------------------------------------------------------------------------------</w:t>
      </w:r>
    </w:p>
    <w:p w14:paraId="05E15C32">
      <w:pPr>
        <w:pStyle w:val="10"/>
        <w:ind w:left="1080"/>
        <w:rPr>
          <w:rFonts w:ascii="Arial" w:hAnsi="Arial" w:cs="Arial"/>
          <w:b/>
          <w:bCs/>
          <w:sz w:val="22"/>
          <w:szCs w:val="22"/>
          <w:lang w:val="en-US"/>
        </w:rPr>
      </w:pPr>
      <w:bookmarkStart w:id="1" w:name="_Hlk488304381"/>
      <w:r>
        <w:rPr>
          <w:rFonts w:ascii="Arial" w:hAnsi="Arial" w:cs="Arial"/>
          <w:b/>
          <w:bCs/>
          <w:sz w:val="22"/>
          <w:szCs w:val="22"/>
          <w:lang w:val="en-US"/>
        </w:rPr>
        <w:t>PhD, Organic Chemistry (2008)</w:t>
      </w:r>
    </w:p>
    <w:p w14:paraId="60FB64F8">
      <w:pPr>
        <w:ind w:left="720" w:right="283" w:firstLine="360"/>
        <w:jc w:val="both"/>
        <w:rPr>
          <w:rFonts w:ascii="Arial" w:hAnsi="Arial" w:cs="Arial"/>
          <w:sz w:val="22"/>
          <w:szCs w:val="22"/>
          <w:lang w:val="en-US"/>
        </w:rPr>
      </w:pPr>
      <w:r>
        <w:rPr>
          <w:rFonts w:ascii="Arial" w:hAnsi="Arial" w:cs="Arial"/>
          <w:b/>
          <w:bCs/>
          <w:sz w:val="22"/>
          <w:szCs w:val="22"/>
          <w:lang w:val="en-US"/>
        </w:rPr>
        <w:t>University of Oxford, UK</w:t>
      </w:r>
      <w:r>
        <w:rPr>
          <w:rFonts w:ascii="Arial" w:hAnsi="Arial" w:cs="Arial"/>
          <w:sz w:val="22"/>
          <w:szCs w:val="22"/>
          <w:lang w:val="en-US"/>
        </w:rPr>
        <w:t>.</w:t>
      </w:r>
      <w:bookmarkEnd w:id="1"/>
    </w:p>
    <w:p w14:paraId="703F2266">
      <w:pPr>
        <w:pStyle w:val="2"/>
        <w:rPr>
          <w:rFonts w:ascii="Arial" w:hAnsi="Arial" w:cs="Arial"/>
          <w:lang w:val="en-US"/>
        </w:rPr>
      </w:pPr>
    </w:p>
    <w:p w14:paraId="7275D6E1">
      <w:pPr>
        <w:pStyle w:val="2"/>
        <w:rPr>
          <w:rFonts w:hint="default" w:ascii="Arial" w:hAnsi="Arial" w:cs="Arial"/>
          <w:lang w:val="en-US"/>
        </w:rPr>
      </w:pPr>
      <w:r>
        <w:rPr>
          <w:rFonts w:hint="default" w:ascii="Arial" w:hAnsi="Arial" w:cs="Arial"/>
          <w:lang w:val="en-US"/>
        </w:rPr>
        <w:t>Research Interests</w:t>
      </w:r>
    </w:p>
    <w:p w14:paraId="2C362744">
      <w:pPr>
        <w:jc w:val="both"/>
        <w:rPr>
          <w:rFonts w:hint="default" w:ascii="Arial" w:hAnsi="Arial" w:cs="Arial"/>
          <w:sz w:val="20"/>
          <w:szCs w:val="20"/>
          <w:lang w:val="en-US"/>
        </w:rPr>
      </w:pPr>
    </w:p>
    <w:p w14:paraId="76E46808">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20" w:afterAutospacing="0"/>
        <w:ind w:left="-60" w:leftChars="0" w:right="0" w:rightChars="0"/>
        <w:jc w:val="both"/>
        <w:rPr>
          <w:rFonts w:hint="default" w:ascii="Arial" w:hAnsi="Arial" w:eastAsia="SimSun" w:cs="Arial"/>
          <w:sz w:val="24"/>
          <w:szCs w:val="24"/>
        </w:rPr>
      </w:pPr>
      <w:r>
        <w:rPr>
          <w:rFonts w:hint="default" w:ascii="Arial" w:hAnsi="Arial" w:eastAsia="SimSun" w:cs="Arial"/>
          <w:sz w:val="24"/>
          <w:szCs w:val="24"/>
          <w:lang w:val="en-US"/>
        </w:rPr>
        <w:t>Dr. Waqar Rauf</w:t>
      </w:r>
      <w:r>
        <w:rPr>
          <w:rFonts w:hint="default" w:ascii="Arial" w:hAnsi="Arial" w:eastAsia="SimSun" w:cs="Arial"/>
          <w:sz w:val="24"/>
          <w:szCs w:val="24"/>
        </w:rPr>
        <w:t xml:space="preserve"> leads translational R&amp;D spanning GMP-ready, bioreactor-based viral vaccine </w:t>
      </w:r>
      <w:r>
        <w:rPr>
          <w:rFonts w:hint="default" w:ascii="Arial" w:hAnsi="Arial" w:eastAsia="SimSun" w:cs="Arial"/>
          <w:sz w:val="24"/>
          <w:szCs w:val="24"/>
          <w:lang w:val="en-US"/>
        </w:rPr>
        <w:t>development</w:t>
      </w:r>
      <w:r>
        <w:rPr>
          <w:rFonts w:hint="default" w:ascii="Arial" w:hAnsi="Arial" w:eastAsia="SimSun" w:cs="Arial"/>
          <w:sz w:val="24"/>
          <w:szCs w:val="24"/>
        </w:rPr>
        <w:t xml:space="preserve">, discovery of broad-spectrum antivirals and antimicrobials via catalytic organic synthesis (with emphasis on palladium-catalyzed C–C couplings), and advanced analytics. His group isolates and profiles indigenous secondary metabolites by LC–MS, develops and validates LC–MS methods for mycotoxin surveillance and degradation studies, and designs synthetic derivatives for radiopharmaceutical applications. Integrating molecular virology, organic/peptide synthesis, </w:t>
      </w:r>
      <w:r>
        <w:rPr>
          <w:rFonts w:hint="default" w:ascii="Arial" w:hAnsi="Arial" w:eastAsia="SimSun" w:cs="Arial"/>
          <w:sz w:val="24"/>
          <w:szCs w:val="24"/>
          <w:lang w:val="en-US"/>
        </w:rPr>
        <w:t xml:space="preserve">conjugate and recombinant biologics, </w:t>
      </w:r>
      <w:r>
        <w:rPr>
          <w:rFonts w:hint="default" w:ascii="Arial" w:hAnsi="Arial" w:eastAsia="SimSun" w:cs="Arial"/>
          <w:sz w:val="24"/>
          <w:szCs w:val="24"/>
        </w:rPr>
        <w:t>and mass spectrometry, he</w:t>
      </w:r>
      <w:r>
        <w:rPr>
          <w:rFonts w:hint="default" w:ascii="Arial" w:hAnsi="Arial" w:eastAsia="SimSun" w:cs="Arial"/>
          <w:sz w:val="24"/>
          <w:szCs w:val="24"/>
          <w:lang w:val="en-US"/>
        </w:rPr>
        <w:t xml:space="preserve"> coordinates</w:t>
      </w:r>
      <w:r>
        <w:rPr>
          <w:rFonts w:hint="default" w:ascii="Arial" w:hAnsi="Arial" w:eastAsia="SimSun" w:cs="Arial"/>
          <w:sz w:val="24"/>
          <w:szCs w:val="24"/>
        </w:rPr>
        <w:t xml:space="preserve"> multi-institutional partnerships to translate laboratory innovation into national impact on animal health and food security.</w:t>
      </w:r>
    </w:p>
    <w:p w14:paraId="411AD8A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20" w:afterAutospacing="0"/>
        <w:ind w:left="-60" w:leftChars="0" w:right="0" w:rightChars="0"/>
        <w:jc w:val="both"/>
        <w:rPr>
          <w:rFonts w:hint="default" w:ascii="Arial" w:hAnsi="Arial" w:cs="Arial"/>
          <w:b w:val="0"/>
          <w:bCs w:val="0"/>
          <w:color w:val="000000"/>
          <w:sz w:val="20"/>
          <w:szCs w:val="20"/>
        </w:rPr>
      </w:pPr>
      <w:r>
        <w:rPr>
          <w:rFonts w:hint="default" w:ascii="Arial" w:hAnsi="Arial" w:eastAsia="SimSun" w:cs="Arial"/>
          <w:sz w:val="24"/>
          <w:szCs w:val="24"/>
        </w:rPr>
        <w:t>.</w:t>
      </w:r>
      <w:bookmarkStart w:id="2" w:name="_GoBack"/>
      <w:bookmarkEnd w:id="2"/>
    </w:p>
    <w:p w14:paraId="35777935">
      <w:pPr>
        <w:rPr>
          <w:rFonts w:ascii="Arial" w:hAnsi="Arial" w:cs="Arial"/>
          <w:bCs/>
          <w:sz w:val="22"/>
          <w:szCs w:val="22"/>
          <w:lang w:val="en-US"/>
        </w:rPr>
      </w:pPr>
      <w:r>
        <w:rPr>
          <w:rFonts w:ascii="Arial" w:hAnsi="Arial" w:cs="Arial"/>
          <w:bCs/>
          <w:sz w:val="22"/>
          <w:szCs w:val="22"/>
          <w:lang w:val="en-US"/>
        </w:rPr>
        <w:t>------------------------------------------------------------------------------------------------------------------------</w:t>
      </w:r>
    </w:p>
    <w:p w14:paraId="4371AAF7">
      <w:pPr>
        <w:pStyle w:val="11"/>
        <w:numPr>
          <w:ilvl w:val="0"/>
          <w:numId w:val="1"/>
        </w:numPr>
        <w:tabs>
          <w:tab w:val="left" w:pos="3420"/>
        </w:tabs>
        <w:rPr>
          <w:rStyle w:val="12"/>
          <w:rFonts w:ascii="Arial" w:hAnsi="Arial" w:cs="Arial"/>
          <w:bCs w:val="0"/>
          <w:iCs/>
          <w:szCs w:val="20"/>
        </w:rPr>
      </w:pPr>
      <w:r>
        <w:rPr>
          <w:rStyle w:val="12"/>
          <w:rFonts w:ascii="Arial" w:hAnsi="Arial" w:cs="Arial"/>
          <w:bCs w:val="0"/>
          <w:szCs w:val="20"/>
        </w:rPr>
        <w:t>Dec. 2017 – present</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Principal Scientist NIBGE, Faisalabad</w:t>
      </w:r>
    </w:p>
    <w:p w14:paraId="7AB88EDB">
      <w:pPr>
        <w:pStyle w:val="11"/>
        <w:numPr>
          <w:ilvl w:val="0"/>
          <w:numId w:val="1"/>
        </w:numPr>
        <w:rPr>
          <w:rStyle w:val="12"/>
          <w:rFonts w:ascii="Arial" w:hAnsi="Arial" w:cs="Arial"/>
          <w:b w:val="0"/>
          <w:bCs w:val="0"/>
          <w:szCs w:val="20"/>
        </w:rPr>
      </w:pPr>
      <w:r>
        <w:rPr>
          <w:rStyle w:val="12"/>
          <w:rFonts w:ascii="Arial" w:hAnsi="Arial" w:cs="Arial"/>
          <w:bCs w:val="0"/>
          <w:szCs w:val="20"/>
        </w:rPr>
        <w:t>Nov. 2013 – Dec. 2017</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 xml:space="preserve">Senior Scientist NIBGE, Faisalabad </w:t>
      </w:r>
    </w:p>
    <w:p w14:paraId="154D728E">
      <w:pPr>
        <w:pStyle w:val="11"/>
        <w:numPr>
          <w:ilvl w:val="0"/>
          <w:numId w:val="1"/>
        </w:numPr>
        <w:rPr>
          <w:rStyle w:val="12"/>
          <w:rFonts w:ascii="Arial" w:hAnsi="Arial" w:cs="Arial"/>
          <w:b w:val="0"/>
          <w:bCs w:val="0"/>
          <w:szCs w:val="20"/>
        </w:rPr>
      </w:pPr>
      <w:r>
        <w:rPr>
          <w:rStyle w:val="12"/>
          <w:rFonts w:ascii="Arial" w:hAnsi="Arial" w:cs="Arial"/>
          <w:bCs w:val="0"/>
          <w:szCs w:val="20"/>
        </w:rPr>
        <w:t>Dec. 2007 – Oct. 2013</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 xml:space="preserve">Senior Scientist PAEC. </w:t>
      </w:r>
    </w:p>
    <w:p w14:paraId="573062F6">
      <w:pPr>
        <w:pStyle w:val="11"/>
        <w:numPr>
          <w:ilvl w:val="0"/>
          <w:numId w:val="1"/>
        </w:numPr>
        <w:rPr>
          <w:rStyle w:val="12"/>
          <w:rFonts w:ascii="Arial" w:hAnsi="Arial" w:cs="Arial"/>
          <w:b w:val="0"/>
          <w:bCs w:val="0"/>
          <w:szCs w:val="20"/>
        </w:rPr>
      </w:pPr>
      <w:r>
        <w:rPr>
          <w:rStyle w:val="12"/>
          <w:rFonts w:ascii="Arial" w:hAnsi="Arial" w:cs="Arial"/>
          <w:bCs w:val="0"/>
          <w:szCs w:val="20"/>
        </w:rPr>
        <w:t>Sep. 2008 – Dec. 2008</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 xml:space="preserve">Academic Visitor at The Scripps Research Institute, </w:t>
      </w:r>
    </w:p>
    <w:p w14:paraId="76516C1A">
      <w:pPr>
        <w:pStyle w:val="11"/>
        <w:keepNext w:val="0"/>
        <w:keepLines w:val="0"/>
        <w:pageBreakBefore w:val="0"/>
        <w:widowControl/>
        <w:kinsoku/>
        <w:wordWrap/>
        <w:overflowPunct/>
        <w:topLinePunct w:val="0"/>
        <w:autoSpaceDE/>
        <w:autoSpaceDN/>
        <w:bidi w:val="0"/>
        <w:adjustRightInd/>
        <w:snapToGrid/>
        <w:spacing w:before="0"/>
        <w:ind w:left="2880" w:firstLine="720"/>
        <w:textAlignment w:val="auto"/>
        <w:rPr>
          <w:rStyle w:val="12"/>
          <w:rFonts w:ascii="Arial" w:hAnsi="Arial" w:cs="Arial"/>
          <w:b w:val="0"/>
          <w:bCs w:val="0"/>
          <w:szCs w:val="20"/>
        </w:rPr>
      </w:pPr>
      <w:r>
        <w:rPr>
          <w:rStyle w:val="12"/>
          <w:rFonts w:ascii="Arial" w:hAnsi="Arial" w:cs="Arial"/>
          <w:bCs w:val="0"/>
          <w:szCs w:val="20"/>
        </w:rPr>
        <w:t>La Jolla, CA, USA.</w:t>
      </w:r>
    </w:p>
    <w:p w14:paraId="2CAD2180">
      <w:pPr>
        <w:pStyle w:val="11"/>
        <w:numPr>
          <w:ilvl w:val="0"/>
          <w:numId w:val="1"/>
        </w:numPr>
        <w:rPr>
          <w:rStyle w:val="12"/>
          <w:rFonts w:ascii="Arial" w:hAnsi="Arial" w:cs="Arial"/>
          <w:b w:val="0"/>
          <w:bCs w:val="0"/>
          <w:szCs w:val="20"/>
        </w:rPr>
      </w:pPr>
      <w:r>
        <w:rPr>
          <w:rStyle w:val="12"/>
          <w:rFonts w:ascii="Arial" w:hAnsi="Arial" w:cs="Arial"/>
          <w:bCs w:val="0"/>
          <w:szCs w:val="20"/>
        </w:rPr>
        <w:t xml:space="preserve">Aug. 2002 – Dec. 2007 </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Scientific Officer PAEC.</w:t>
      </w:r>
    </w:p>
    <w:p w14:paraId="08EAEF50">
      <w:pPr>
        <w:pStyle w:val="11"/>
        <w:numPr>
          <w:ilvl w:val="0"/>
          <w:numId w:val="1"/>
        </w:numPr>
        <w:rPr>
          <w:rStyle w:val="12"/>
          <w:rFonts w:ascii="Arial" w:hAnsi="Arial" w:cs="Arial"/>
          <w:b w:val="0"/>
          <w:bCs w:val="0"/>
          <w:szCs w:val="20"/>
        </w:rPr>
      </w:pPr>
      <w:r>
        <w:rPr>
          <w:rStyle w:val="12"/>
          <w:rFonts w:ascii="Arial" w:hAnsi="Arial" w:cs="Arial"/>
          <w:bCs w:val="0"/>
          <w:szCs w:val="20"/>
        </w:rPr>
        <w:t>Apr. 2002 – Aug. 2002</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Scientific Officer NIBGE, Faisalabad.</w:t>
      </w:r>
    </w:p>
    <w:p w14:paraId="37EB924D">
      <w:pPr>
        <w:pStyle w:val="11"/>
        <w:numPr>
          <w:ilvl w:val="0"/>
          <w:numId w:val="1"/>
        </w:numPr>
        <w:rPr>
          <w:rStyle w:val="12"/>
          <w:rFonts w:ascii="Arial" w:hAnsi="Arial" w:cs="Arial"/>
          <w:b w:val="0"/>
          <w:bCs w:val="0"/>
          <w:szCs w:val="20"/>
        </w:rPr>
      </w:pPr>
      <w:r>
        <w:rPr>
          <w:rStyle w:val="12"/>
          <w:rFonts w:ascii="Arial" w:hAnsi="Arial" w:cs="Arial"/>
          <w:bCs w:val="0"/>
          <w:szCs w:val="20"/>
        </w:rPr>
        <w:t>Jan. 2001 – Feb. 2002</w:t>
      </w:r>
      <w:r>
        <w:rPr>
          <w:rStyle w:val="12"/>
          <w:rFonts w:ascii="Arial" w:hAnsi="Arial" w:cs="Arial"/>
          <w:bCs w:val="0"/>
          <w:szCs w:val="20"/>
        </w:rPr>
        <w:tab/>
      </w:r>
      <w:r>
        <w:rPr>
          <w:rStyle w:val="12"/>
          <w:rFonts w:ascii="Arial" w:hAnsi="Arial" w:cs="Arial"/>
          <w:bCs w:val="0"/>
          <w:szCs w:val="20"/>
        </w:rPr>
        <w:tab/>
      </w:r>
      <w:r>
        <w:rPr>
          <w:rStyle w:val="12"/>
          <w:rFonts w:ascii="Arial" w:hAnsi="Arial" w:cs="Arial"/>
          <w:bCs w:val="0"/>
          <w:szCs w:val="20"/>
        </w:rPr>
        <w:t>Trainee Chemist, Graduate Engineers Training</w:t>
      </w:r>
    </w:p>
    <w:p w14:paraId="63585D53">
      <w:pPr>
        <w:pStyle w:val="11"/>
        <w:keepNext w:val="0"/>
        <w:keepLines w:val="0"/>
        <w:pageBreakBefore w:val="0"/>
        <w:widowControl/>
        <w:kinsoku/>
        <w:wordWrap/>
        <w:overflowPunct/>
        <w:topLinePunct w:val="0"/>
        <w:autoSpaceDE/>
        <w:autoSpaceDN/>
        <w:bidi w:val="0"/>
        <w:adjustRightInd/>
        <w:snapToGrid/>
        <w:spacing w:before="0"/>
        <w:ind w:left="2880" w:firstLine="720"/>
        <w:textAlignment w:val="auto"/>
        <w:rPr>
          <w:rStyle w:val="12"/>
          <w:rFonts w:ascii="Arial" w:hAnsi="Arial" w:cs="Arial"/>
          <w:b w:val="0"/>
          <w:bCs w:val="0"/>
          <w:szCs w:val="20"/>
        </w:rPr>
      </w:pPr>
      <w:r>
        <w:rPr>
          <w:rStyle w:val="12"/>
          <w:rFonts w:ascii="Arial" w:hAnsi="Arial" w:cs="Arial"/>
          <w:bCs w:val="0"/>
          <w:szCs w:val="20"/>
        </w:rPr>
        <w:t>Programme, Dawood Hercules Chemicals, Ltd. Lahore</w:t>
      </w:r>
    </w:p>
    <w:p w14:paraId="500132AF">
      <w:pPr>
        <w:pStyle w:val="2"/>
        <w:contextualSpacing/>
        <w:rPr>
          <w:rFonts w:asciiTheme="minorBidi" w:hAnsiTheme="minorBidi" w:cstheme="minorBidi"/>
          <w:bCs/>
          <w:lang w:val="en-GB"/>
        </w:rPr>
      </w:pPr>
    </w:p>
    <w:p w14:paraId="076006E7">
      <w:pPr>
        <w:ind w:left="720" w:right="283" w:firstLine="360"/>
        <w:jc w:val="both"/>
        <w:rPr>
          <w:rFonts w:ascii="Arial" w:hAnsi="Arial" w:cs="Arial"/>
          <w:sz w:val="22"/>
          <w:szCs w:val="22"/>
          <w:lang w:val="en-US"/>
        </w:rPr>
      </w:pPr>
    </w:p>
    <w:p w14:paraId="459FDC54">
      <w:pPr>
        <w:pStyle w:val="2"/>
        <w:contextualSpacing/>
        <w:rPr>
          <w:rFonts w:ascii="Arial" w:hAnsi="Arial" w:cs="Arial"/>
          <w:lang w:val="en-GB"/>
        </w:rPr>
      </w:pPr>
      <w:r>
        <w:rPr>
          <w:rFonts w:ascii="Arial" w:hAnsi="Arial" w:cs="Arial"/>
          <w:lang w:val="en-GB"/>
        </w:rPr>
        <w:t>List of publications</w:t>
      </w:r>
    </w:p>
    <w:p w14:paraId="20D469B2">
      <w:pPr>
        <w:rPr>
          <w:rFonts w:ascii="Arial" w:hAnsi="Arial" w:cs="Arial"/>
          <w:sz w:val="22"/>
          <w:szCs w:val="22"/>
          <w:lang w:val="en-GB"/>
        </w:rPr>
      </w:pPr>
      <w:r>
        <w:rPr>
          <w:rFonts w:ascii="Arial" w:hAnsi="Arial" w:cs="Arial"/>
          <w:sz w:val="22"/>
          <w:szCs w:val="22"/>
          <w:lang w:val="en-GB"/>
        </w:rPr>
        <w:t>-----------------------------------------------------------------------------------------------------------------------------------</w:t>
      </w:r>
    </w:p>
    <w:bookmarkEnd w:id="0"/>
    <w:p w14:paraId="5C71B382">
      <w:pPr>
        <w:numPr>
          <w:ilvl w:val="0"/>
          <w:numId w:val="2"/>
        </w:numPr>
        <w:ind w:left="360"/>
        <w:jc w:val="both"/>
        <w:textAlignment w:val="baseline"/>
        <w:rPr>
          <w:rFonts w:hint="default" w:ascii="Arial" w:hAnsi="Arial" w:cs="Arial"/>
          <w:spacing w:val="-1"/>
          <w:sz w:val="20"/>
          <w:szCs w:val="20"/>
        </w:rPr>
      </w:pPr>
      <w:r>
        <w:rPr>
          <w:rFonts w:hint="default" w:ascii="Arial" w:hAnsi="Arial" w:cs="Arial"/>
          <w:spacing w:val="-1"/>
          <w:sz w:val="20"/>
          <w:szCs w:val="20"/>
        </w:rPr>
        <w:t>Rafiq M, Huda N, Hassan N, Ali H, Tawab A, Bashir R, Iqbal N, Rafaque Z, Ahmad F, Wang Y, Rauf W, Saqib A, Jawad I, Kang</w:t>
      </w:r>
      <w:r>
        <w:rPr>
          <w:rFonts w:hint="default" w:ascii="Arial" w:hAnsi="Arial" w:cs="Arial"/>
          <w:spacing w:val="-1"/>
          <w:sz w:val="20"/>
          <w:szCs w:val="20"/>
          <w:lang w:val="en-US"/>
        </w:rPr>
        <w:t xml:space="preserve"> (</w:t>
      </w:r>
      <w:r>
        <w:rPr>
          <w:rFonts w:hint="default" w:ascii="Arial" w:hAnsi="Arial" w:cs="Arial"/>
          <w:spacing w:val="-1"/>
          <w:sz w:val="20"/>
          <w:szCs w:val="20"/>
        </w:rPr>
        <w:t>2025</w:t>
      </w:r>
      <w:r>
        <w:rPr>
          <w:rFonts w:hint="default" w:ascii="Arial" w:hAnsi="Arial" w:cs="Arial"/>
          <w:spacing w:val="-1"/>
          <w:sz w:val="20"/>
          <w:szCs w:val="20"/>
          <w:lang w:val="en-US"/>
        </w:rPr>
        <w:t xml:space="preserve">). </w:t>
      </w:r>
      <w:r>
        <w:rPr>
          <w:rFonts w:hint="default" w:ascii="Arial" w:hAnsi="Arial" w:cs="Arial"/>
          <w:spacing w:val="-1"/>
          <w:sz w:val="20"/>
          <w:szCs w:val="20"/>
        </w:rPr>
        <w:t>Microbial prodigiosin shows broad-spectrum bioactivity confirmed by experimental and computational analyses</w:t>
      </w:r>
      <w:r>
        <w:rPr>
          <w:rFonts w:hint="default" w:ascii="Arial" w:hAnsi="Arial" w:cs="Arial"/>
          <w:spacing w:val="-1"/>
          <w:sz w:val="20"/>
          <w:szCs w:val="20"/>
          <w:lang w:val="en-US"/>
        </w:rPr>
        <w:t xml:space="preserve">. </w:t>
      </w:r>
      <w:r>
        <w:rPr>
          <w:rFonts w:hint="default" w:ascii="Arial" w:hAnsi="Arial" w:cs="Arial"/>
          <w:i/>
          <w:iCs/>
          <w:spacing w:val="-1"/>
          <w:sz w:val="20"/>
          <w:szCs w:val="20"/>
        </w:rPr>
        <w:t>Frontiers in Microbiology</w:t>
      </w:r>
      <w:r>
        <w:rPr>
          <w:rFonts w:hint="default" w:ascii="Arial" w:hAnsi="Arial" w:cs="Arial"/>
          <w:i/>
          <w:iCs/>
          <w:spacing w:val="-1"/>
          <w:sz w:val="20"/>
          <w:szCs w:val="20"/>
          <w:lang w:val="en-US"/>
        </w:rPr>
        <w:t xml:space="preserve">, Vol. </w:t>
      </w:r>
      <w:r>
        <w:rPr>
          <w:rFonts w:hint="default" w:ascii="Arial" w:hAnsi="Arial" w:cs="Arial"/>
          <w:spacing w:val="-1"/>
          <w:sz w:val="20"/>
          <w:szCs w:val="20"/>
        </w:rPr>
        <w:t>16</w:t>
      </w:r>
      <w:r>
        <w:rPr>
          <w:rFonts w:hint="default" w:ascii="Arial" w:hAnsi="Arial" w:cs="Arial"/>
          <w:spacing w:val="-1"/>
          <w:sz w:val="20"/>
          <w:szCs w:val="20"/>
          <w:lang w:val="en-US"/>
        </w:rPr>
        <w:t xml:space="preserve">, </w:t>
      </w:r>
      <w:r>
        <w:rPr>
          <w:rFonts w:hint="default" w:ascii="Arial" w:hAnsi="Arial" w:cs="Arial"/>
          <w:spacing w:val="-1"/>
          <w:sz w:val="20"/>
          <w:szCs w:val="20"/>
        </w:rPr>
        <w:t>DOI=10.3389/fmicb.2025.1676959</w:t>
      </w:r>
    </w:p>
    <w:p w14:paraId="1CF4CF84">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Bashir R, Jabeen S, Abbas W, Habib F, Iqbal S, Rahman M,</w:t>
      </w:r>
      <w:r>
        <w:rPr>
          <w:rFonts w:hint="default" w:ascii="Arial" w:hAnsi="Arial" w:cs="Arial"/>
          <w:spacing w:val="-1"/>
          <w:sz w:val="20"/>
          <w:szCs w:val="20"/>
          <w:lang w:val="en-US"/>
        </w:rPr>
        <w:t xml:space="preserve"> </w:t>
      </w:r>
      <w:r>
        <w:rPr>
          <w:rFonts w:hint="default" w:ascii="Arial" w:hAnsi="Arial" w:cs="Arial"/>
          <w:b/>
          <w:bCs/>
          <w:spacing w:val="-1"/>
          <w:sz w:val="20"/>
          <w:szCs w:val="20"/>
          <w:lang w:val="en-US"/>
        </w:rPr>
        <w:t>Rauf W</w:t>
      </w:r>
      <w:r>
        <w:rPr>
          <w:rFonts w:hint="default" w:ascii="Arial" w:hAnsi="Arial" w:cs="Arial"/>
          <w:spacing w:val="-1"/>
          <w:sz w:val="20"/>
          <w:szCs w:val="20"/>
          <w:lang w:val="en-US"/>
        </w:rPr>
        <w:t>,</w:t>
      </w:r>
      <w:r>
        <w:rPr>
          <w:rFonts w:ascii="Arial" w:hAnsi="Arial" w:cs="Arial"/>
          <w:spacing w:val="-1"/>
          <w:sz w:val="20"/>
          <w:szCs w:val="20"/>
        </w:rPr>
        <w:t xml:space="preserve"> Iqbal M. (2025). Enhancing thiazolide efficacy: C-4 aryl modifications drive selective SARS-CoV-2 inhibition.</w:t>
      </w:r>
      <w:r>
        <w:rPr>
          <w:rFonts w:hint="default" w:ascii="Arial" w:hAnsi="Arial" w:cs="Arial"/>
          <w:spacing w:val="-1"/>
          <w:sz w:val="20"/>
          <w:szCs w:val="20"/>
        </w:rPr>
        <w:t> </w:t>
      </w:r>
      <w:r>
        <w:rPr>
          <w:rFonts w:hint="default" w:ascii="Arial" w:hAnsi="Arial" w:cs="Arial"/>
          <w:i/>
          <w:iCs/>
          <w:spacing w:val="-1"/>
          <w:sz w:val="20"/>
          <w:szCs w:val="20"/>
        </w:rPr>
        <w:t>Future Medicinal Chemistry</w:t>
      </w:r>
      <w:r>
        <w:rPr>
          <w:rFonts w:hint="default" w:ascii="Arial" w:hAnsi="Arial" w:cs="Arial"/>
          <w:spacing w:val="-1"/>
          <w:sz w:val="20"/>
          <w:szCs w:val="20"/>
        </w:rPr>
        <w:t>, 17(18), 2235–2250. https://doi.org/10.1080/17568919.2025.2559572</w:t>
      </w:r>
    </w:p>
    <w:p w14:paraId="11355DFB">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Munawar M, Khan NUH, Jabeen S</w:t>
      </w:r>
      <w:r>
        <w:rPr>
          <w:rFonts w:hint="default" w:ascii="Arial" w:hAnsi="Arial" w:cs="Arial"/>
          <w:spacing w:val="-1"/>
          <w:sz w:val="20"/>
          <w:szCs w:val="20"/>
          <w:lang w:val="en-US"/>
        </w:rPr>
        <w:t xml:space="preserve">, </w:t>
      </w:r>
      <w:r>
        <w:rPr>
          <w:rFonts w:hint="default" w:ascii="Arial" w:hAnsi="Arial" w:cs="Arial"/>
          <w:spacing w:val="-1"/>
          <w:sz w:val="20"/>
          <w:szCs w:val="20"/>
        </w:rPr>
        <w:t>Taj</w:t>
      </w:r>
      <w:r>
        <w:rPr>
          <w:rFonts w:hint="default" w:ascii="Arial" w:hAnsi="Arial" w:cs="Arial"/>
          <w:spacing w:val="-1"/>
          <w:sz w:val="20"/>
          <w:szCs w:val="20"/>
          <w:lang w:val="en-US"/>
        </w:rPr>
        <w:t xml:space="preserve"> S, </w:t>
      </w:r>
      <w:r>
        <w:rPr>
          <w:rFonts w:hint="default" w:ascii="Arial" w:hAnsi="Arial" w:cs="Arial"/>
          <w:spacing w:val="-1"/>
          <w:sz w:val="20"/>
          <w:szCs w:val="20"/>
        </w:rPr>
        <w:t>Bashir</w:t>
      </w:r>
      <w:r>
        <w:rPr>
          <w:rFonts w:hint="default" w:ascii="Arial" w:hAnsi="Arial" w:cs="Arial"/>
          <w:spacing w:val="-1"/>
          <w:sz w:val="20"/>
          <w:szCs w:val="20"/>
          <w:lang w:val="en-US"/>
        </w:rPr>
        <w:t xml:space="preserve"> R,</w:t>
      </w:r>
      <w:r>
        <w:rPr>
          <w:rFonts w:hint="default" w:ascii="Arial" w:hAnsi="Arial" w:cs="Arial"/>
          <w:spacing w:val="-1"/>
          <w:sz w:val="20"/>
          <w:szCs w:val="20"/>
        </w:rPr>
        <w:t xml:space="preserve"> Abbas</w:t>
      </w:r>
      <w:r>
        <w:rPr>
          <w:rFonts w:hint="default" w:ascii="Arial" w:hAnsi="Arial" w:cs="Arial"/>
          <w:spacing w:val="-1"/>
          <w:sz w:val="20"/>
          <w:szCs w:val="20"/>
          <w:lang w:val="en-US"/>
        </w:rPr>
        <w:t xml:space="preserve"> W, </w:t>
      </w:r>
      <w:r>
        <w:rPr>
          <w:rFonts w:hint="default" w:ascii="Arial" w:hAnsi="Arial" w:cs="Arial"/>
          <w:b/>
          <w:bCs/>
          <w:spacing w:val="-1"/>
          <w:sz w:val="20"/>
          <w:szCs w:val="20"/>
        </w:rPr>
        <w:t>Rauf</w:t>
      </w:r>
      <w:r>
        <w:rPr>
          <w:rFonts w:hint="default" w:ascii="Arial" w:hAnsi="Arial" w:cs="Arial"/>
          <w:b/>
          <w:bCs/>
          <w:spacing w:val="-1"/>
          <w:sz w:val="20"/>
          <w:szCs w:val="20"/>
          <w:lang w:val="en-US"/>
        </w:rPr>
        <w:t xml:space="preserve"> W</w:t>
      </w:r>
      <w:r>
        <w:rPr>
          <w:rFonts w:hint="default" w:ascii="Arial" w:hAnsi="Arial" w:cs="Arial"/>
          <w:spacing w:val="-1"/>
          <w:sz w:val="20"/>
          <w:szCs w:val="20"/>
          <w:lang w:val="en-US"/>
        </w:rPr>
        <w:t>,</w:t>
      </w:r>
      <w:r>
        <w:rPr>
          <w:rFonts w:hint="default" w:ascii="Arial" w:hAnsi="Arial" w:cs="Arial"/>
          <w:spacing w:val="-1"/>
          <w:sz w:val="20"/>
          <w:szCs w:val="20"/>
        </w:rPr>
        <w:t xml:space="preserve"> Iqbal</w:t>
      </w:r>
      <w:r>
        <w:rPr>
          <w:rFonts w:hint="default" w:ascii="Arial" w:hAnsi="Arial" w:cs="Arial"/>
          <w:spacing w:val="-1"/>
          <w:sz w:val="20"/>
          <w:szCs w:val="20"/>
          <w:lang w:val="en-US"/>
        </w:rPr>
        <w:t xml:space="preserve"> M.</w:t>
      </w:r>
      <w:r>
        <w:rPr>
          <w:rFonts w:hint="default" w:ascii="Arial" w:hAnsi="Arial" w:cs="Arial"/>
          <w:spacing w:val="-1"/>
          <w:sz w:val="20"/>
          <w:szCs w:val="20"/>
        </w:rPr>
        <w:t> Design and Evaluation of ATN-161 Analogues as Fusion Inhibitors Targeting Integrins in SARS-CoV-2. </w:t>
      </w:r>
      <w:r>
        <w:rPr>
          <w:rFonts w:hint="default" w:ascii="Arial" w:hAnsi="Arial" w:cs="Arial"/>
          <w:i/>
          <w:iCs/>
          <w:spacing w:val="-1"/>
          <w:sz w:val="20"/>
          <w:szCs w:val="20"/>
        </w:rPr>
        <w:t>Int J Pept Res Ther</w:t>
      </w:r>
      <w:r>
        <w:rPr>
          <w:rFonts w:hint="default" w:ascii="Arial" w:hAnsi="Arial" w:cs="Arial"/>
          <w:spacing w:val="-1"/>
          <w:sz w:val="20"/>
          <w:szCs w:val="20"/>
        </w:rPr>
        <w:t> 31, 74 (2025). https://doi.org/10.1007/s10989-025-10734-x</w:t>
      </w:r>
    </w:p>
    <w:p w14:paraId="03F931AB">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Mahboob S, Ullah N, Farhan Ul Haque M, </w:t>
      </w:r>
      <w:r>
        <w:rPr>
          <w:rFonts w:ascii="Arial" w:hAnsi="Arial" w:cs="Arial"/>
          <w:b/>
          <w:bCs/>
          <w:spacing w:val="-1"/>
          <w:sz w:val="20"/>
          <w:szCs w:val="20"/>
        </w:rPr>
        <w:t>Rauf W</w:t>
      </w:r>
      <w:r>
        <w:rPr>
          <w:rFonts w:ascii="Arial" w:hAnsi="Arial" w:cs="Arial"/>
          <w:spacing w:val="-1"/>
          <w:sz w:val="20"/>
          <w:szCs w:val="20"/>
        </w:rPr>
        <w:t xml:space="preserve">, Iqbal M, Ali A, Rahman M, Genomic characterization and comparative genomic analysis of HS-associated Pasteurella multocida serotype B:2 strains from Pakistan. </w:t>
      </w:r>
      <w:r>
        <w:rPr>
          <w:rFonts w:ascii="Arial" w:hAnsi="Arial" w:cs="Arial"/>
          <w:i/>
          <w:iCs/>
          <w:spacing w:val="-1"/>
          <w:sz w:val="20"/>
          <w:szCs w:val="20"/>
        </w:rPr>
        <w:t>BMC Genomics</w:t>
      </w:r>
      <w:r>
        <w:rPr>
          <w:rFonts w:ascii="Arial" w:hAnsi="Arial" w:cs="Arial"/>
          <w:spacing w:val="-1"/>
          <w:sz w:val="20"/>
          <w:szCs w:val="20"/>
        </w:rPr>
        <w:t xml:space="preserve"> 2023, 24 (1), 546.</w:t>
      </w:r>
    </w:p>
    <w:p w14:paraId="560B581E">
      <w:pPr>
        <w:numPr>
          <w:ilvl w:val="0"/>
          <w:numId w:val="2"/>
        </w:numPr>
        <w:ind w:left="360"/>
        <w:jc w:val="both"/>
        <w:textAlignment w:val="baseline"/>
        <w:rPr>
          <w:rFonts w:ascii="Arial" w:hAnsi="Arial" w:cs="Arial"/>
          <w:spacing w:val="-1"/>
          <w:sz w:val="20"/>
          <w:szCs w:val="20"/>
        </w:rPr>
      </w:pPr>
      <w:r>
        <w:rPr>
          <w:rFonts w:hint="default" w:ascii="Arial" w:hAnsi="Arial"/>
          <w:spacing w:val="-1"/>
          <w:sz w:val="20"/>
          <w:szCs w:val="20"/>
        </w:rPr>
        <w:t>Shabbir A, Shahzad SA, Assiri MA, Muqadas, Mustafa</w:t>
      </w:r>
      <w:r>
        <w:rPr>
          <w:rFonts w:hint="default" w:ascii="Arial" w:hAnsi="Arial"/>
          <w:spacing w:val="-1"/>
          <w:sz w:val="20"/>
          <w:szCs w:val="20"/>
          <w:lang w:val="en-US"/>
        </w:rPr>
        <w:t xml:space="preserve"> I</w:t>
      </w:r>
      <w:r>
        <w:rPr>
          <w:rFonts w:hint="default" w:ascii="Arial" w:hAnsi="Arial"/>
          <w:spacing w:val="-1"/>
          <w:sz w:val="20"/>
          <w:szCs w:val="20"/>
        </w:rPr>
        <w:t xml:space="preserve">, </w:t>
      </w:r>
      <w:r>
        <w:rPr>
          <w:rFonts w:hint="default" w:ascii="Arial" w:hAnsi="Arial"/>
          <w:b/>
          <w:bCs/>
          <w:spacing w:val="-1"/>
          <w:sz w:val="20"/>
          <w:szCs w:val="20"/>
        </w:rPr>
        <w:t>Rauf</w:t>
      </w:r>
      <w:r>
        <w:rPr>
          <w:rFonts w:hint="default" w:ascii="Arial" w:hAnsi="Arial"/>
          <w:b/>
          <w:bCs/>
          <w:spacing w:val="-1"/>
          <w:sz w:val="20"/>
          <w:szCs w:val="20"/>
          <w:lang w:val="en-US"/>
        </w:rPr>
        <w:t xml:space="preserve"> W</w:t>
      </w:r>
      <w:r>
        <w:rPr>
          <w:rFonts w:hint="default" w:ascii="Arial" w:hAnsi="Arial"/>
          <w:spacing w:val="-1"/>
          <w:sz w:val="20"/>
          <w:szCs w:val="20"/>
        </w:rPr>
        <w:t>. Synthesis and construction of aggregation induced emission based sensor for colorimetric multiphase sequential sensing of Al</w:t>
      </w:r>
      <w:r>
        <w:rPr>
          <w:rFonts w:hint="default" w:ascii="Arial" w:hAnsi="Arial"/>
          <w:spacing w:val="-1"/>
          <w:sz w:val="20"/>
          <w:szCs w:val="20"/>
          <w:vertAlign w:val="superscript"/>
        </w:rPr>
        <w:t>3+</w:t>
      </w:r>
      <w:r>
        <w:rPr>
          <w:rFonts w:hint="default" w:ascii="Arial" w:hAnsi="Arial"/>
          <w:spacing w:val="-1"/>
          <w:sz w:val="20"/>
          <w:szCs w:val="20"/>
        </w:rPr>
        <w:t xml:space="preserve"> and CN</w:t>
      </w:r>
      <w:r>
        <w:rPr>
          <w:rFonts w:hint="default" w:ascii="Arial" w:hAnsi="Arial"/>
          <w:spacing w:val="-1"/>
          <w:sz w:val="20"/>
          <w:szCs w:val="20"/>
          <w:vertAlign w:val="superscript"/>
        </w:rPr>
        <w:t>−</w:t>
      </w:r>
      <w:r>
        <w:rPr>
          <w:rFonts w:hint="default" w:ascii="Arial" w:hAnsi="Arial"/>
          <w:spacing w:val="-1"/>
          <w:sz w:val="20"/>
          <w:szCs w:val="20"/>
        </w:rPr>
        <w:t xml:space="preserve"> with real sample applications: Development of efficient vapor phase pH sensor. </w:t>
      </w:r>
      <w:r>
        <w:rPr>
          <w:rFonts w:hint="default" w:ascii="Arial" w:hAnsi="Arial"/>
          <w:i/>
          <w:iCs/>
          <w:spacing w:val="-1"/>
          <w:sz w:val="20"/>
          <w:szCs w:val="20"/>
        </w:rPr>
        <w:t>Journal of Molecular Liquids</w:t>
      </w:r>
      <w:r>
        <w:rPr>
          <w:rFonts w:hint="default" w:ascii="Arial" w:hAnsi="Arial"/>
          <w:spacing w:val="-1"/>
          <w:sz w:val="20"/>
          <w:szCs w:val="20"/>
        </w:rPr>
        <w:t>. 2025 2025/07/15/;430:127706.</w:t>
      </w:r>
    </w:p>
    <w:p w14:paraId="4EA205F9">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Siddique W, Mahboob S, </w:t>
      </w:r>
      <w:r>
        <w:rPr>
          <w:rFonts w:ascii="Arial" w:hAnsi="Arial" w:cs="Arial"/>
          <w:b/>
          <w:bCs/>
          <w:spacing w:val="-1"/>
          <w:sz w:val="20"/>
          <w:szCs w:val="20"/>
        </w:rPr>
        <w:t>Rauf W</w:t>
      </w:r>
      <w:r>
        <w:rPr>
          <w:rFonts w:ascii="Arial" w:hAnsi="Arial" w:cs="Arial"/>
          <w:spacing w:val="-1"/>
          <w:sz w:val="20"/>
          <w:szCs w:val="20"/>
        </w:rPr>
        <w:t>, Jabeen S, Naseem Z, Shafaqat F (2025). Pasteurella multocida: Composition, genetics and biosynthesis of capsular polysaccharides (CPS) of serotypes A, B, D, E and F.</w:t>
      </w:r>
      <w:r>
        <w:rPr>
          <w:rFonts w:hint="default" w:ascii="Arial" w:hAnsi="Arial" w:cs="Arial"/>
          <w:spacing w:val="-1"/>
          <w:sz w:val="20"/>
          <w:szCs w:val="20"/>
        </w:rPr>
        <w:t> </w:t>
      </w:r>
      <w:r>
        <w:rPr>
          <w:rFonts w:hint="default" w:ascii="Arial" w:hAnsi="Arial" w:cs="Arial"/>
          <w:i/>
          <w:iCs/>
          <w:spacing w:val="-1"/>
          <w:sz w:val="20"/>
          <w:szCs w:val="20"/>
        </w:rPr>
        <w:t>Res J. Vet. Pract</w:t>
      </w:r>
      <w:r>
        <w:rPr>
          <w:rFonts w:hint="default" w:ascii="Arial" w:hAnsi="Arial" w:cs="Arial"/>
          <w:spacing w:val="-1"/>
          <w:sz w:val="20"/>
          <w:szCs w:val="20"/>
        </w:rPr>
        <w:t>. 13(2): 26-38.</w:t>
      </w:r>
    </w:p>
    <w:p w14:paraId="6E491CAC">
      <w:pPr>
        <w:numPr>
          <w:ilvl w:val="0"/>
          <w:numId w:val="2"/>
        </w:numPr>
        <w:ind w:left="360"/>
        <w:jc w:val="both"/>
        <w:textAlignment w:val="baseline"/>
        <w:rPr>
          <w:rFonts w:ascii="Arial" w:hAnsi="Arial" w:cs="Arial"/>
          <w:color w:val="000000"/>
          <w:spacing w:val="-1"/>
          <w:sz w:val="20"/>
          <w:szCs w:val="20"/>
        </w:rPr>
      </w:pPr>
      <w:r>
        <w:rPr>
          <w:rFonts w:ascii="Arial" w:hAnsi="Arial" w:cs="Arial"/>
          <w:spacing w:val="-1"/>
          <w:sz w:val="20"/>
          <w:szCs w:val="20"/>
        </w:rPr>
        <w:t xml:space="preserve">Tawab A.; Akbar N.; Hasssan M.; Habib F.; Ali A.; Rahman M.; Jabbar A.; </w:t>
      </w:r>
      <w:r>
        <w:rPr>
          <w:rFonts w:ascii="Arial" w:hAnsi="Arial" w:cs="Arial"/>
          <w:b/>
          <w:spacing w:val="-1"/>
          <w:sz w:val="20"/>
          <w:szCs w:val="20"/>
        </w:rPr>
        <w:t>Rauf W.</w:t>
      </w:r>
      <w:r>
        <w:rPr>
          <w:rFonts w:ascii="Arial" w:hAnsi="Arial" w:cs="Arial"/>
          <w:spacing w:val="-1"/>
          <w:sz w:val="20"/>
          <w:szCs w:val="20"/>
        </w:rPr>
        <w:t xml:space="preserve">; Iqbal M. Mass spectrometric analysis of lipid A obtained from the lipopolysaccharide of: Pasteurella multocida </w:t>
      </w:r>
      <w:r>
        <w:rPr>
          <w:rFonts w:ascii="Arial" w:hAnsi="Arial" w:cs="Arial"/>
          <w:i/>
          <w:spacing w:val="-1"/>
          <w:sz w:val="20"/>
          <w:szCs w:val="20"/>
        </w:rPr>
        <w:t>RSC Advances</w:t>
      </w:r>
      <w:r>
        <w:rPr>
          <w:rFonts w:ascii="Arial" w:hAnsi="Arial" w:cs="Arial"/>
          <w:color w:val="323232"/>
          <w:sz w:val="16"/>
          <w:szCs w:val="16"/>
        </w:rPr>
        <w:t>, </w:t>
      </w:r>
      <w:r>
        <w:rPr>
          <w:rStyle w:val="14"/>
          <w:rFonts w:ascii="Arial" w:hAnsi="Arial" w:cs="Arial"/>
          <w:color w:val="000000"/>
          <w:sz w:val="20"/>
          <w:szCs w:val="20"/>
        </w:rPr>
        <w:t>2020</w:t>
      </w:r>
      <w:r>
        <w:rPr>
          <w:rFonts w:ascii="Arial" w:hAnsi="Arial" w:cs="Arial"/>
          <w:color w:val="000000"/>
          <w:sz w:val="20"/>
          <w:szCs w:val="20"/>
        </w:rPr>
        <w:t>, </w:t>
      </w:r>
      <w:r>
        <w:rPr>
          <w:rStyle w:val="14"/>
          <w:rFonts w:ascii="Arial" w:hAnsi="Arial" w:cs="Arial"/>
          <w:color w:val="000000"/>
          <w:sz w:val="20"/>
          <w:szCs w:val="20"/>
        </w:rPr>
        <w:t>10(51), 30917-30933.</w:t>
      </w:r>
    </w:p>
    <w:p w14:paraId="0543F665">
      <w:pPr>
        <w:numPr>
          <w:ilvl w:val="0"/>
          <w:numId w:val="2"/>
        </w:numPr>
        <w:ind w:left="360"/>
        <w:jc w:val="both"/>
        <w:textAlignment w:val="baseline"/>
        <w:rPr>
          <w:rFonts w:ascii="Arial" w:hAnsi="Arial" w:cs="Arial"/>
          <w:spacing w:val="-1"/>
          <w:sz w:val="20"/>
          <w:szCs w:val="20"/>
        </w:rPr>
      </w:pPr>
      <w:r>
        <w:rPr>
          <w:rFonts w:hint="default" w:ascii="Arial" w:hAnsi="Arial"/>
          <w:spacing w:val="-1"/>
          <w:sz w:val="20"/>
          <w:szCs w:val="20"/>
        </w:rPr>
        <w:t xml:space="preserve">Qurban, F., Shahzad, S. A., Khaskheli, M. S., Khan, S. ullah, Khan, S. A., </w:t>
      </w:r>
      <w:r>
        <w:rPr>
          <w:rFonts w:hint="default" w:ascii="Arial" w:hAnsi="Arial"/>
          <w:b/>
          <w:bCs/>
          <w:spacing w:val="-1"/>
          <w:sz w:val="20"/>
          <w:szCs w:val="20"/>
        </w:rPr>
        <w:t>Rauf, W.</w:t>
      </w:r>
      <w:r>
        <w:rPr>
          <w:rFonts w:hint="default" w:ascii="Arial" w:hAnsi="Arial"/>
          <w:spacing w:val="-1"/>
          <w:sz w:val="20"/>
          <w:szCs w:val="20"/>
        </w:rPr>
        <w:t>,</w:t>
      </w:r>
      <w:r>
        <w:rPr>
          <w:rFonts w:hint="default" w:ascii="Arial" w:hAnsi="Arial"/>
          <w:spacing w:val="-1"/>
          <w:sz w:val="20"/>
          <w:szCs w:val="20"/>
          <w:lang w:val="en-US"/>
        </w:rPr>
        <w:t xml:space="preserve"> Islam, S.,</w:t>
      </w:r>
      <w:r>
        <w:rPr>
          <w:rFonts w:hint="default" w:ascii="Arial" w:hAnsi="Arial"/>
          <w:spacing w:val="-1"/>
          <w:sz w:val="20"/>
          <w:szCs w:val="20"/>
        </w:rPr>
        <w:t xml:space="preserve"> Mannan, A. (2024). Design, synthesis and evaluation of novel norfloxacin analogs as potent anticancer and antioxidant agents. Future Medicinal Chemistry, 16(17), 1777–1789. </w:t>
      </w:r>
      <w:r>
        <w:rPr>
          <w:rFonts w:hint="default" w:ascii="Arial" w:hAnsi="Arial"/>
          <w:spacing w:val="-1"/>
          <w:sz w:val="20"/>
          <w:szCs w:val="20"/>
        </w:rPr>
        <w:fldChar w:fldCharType="begin"/>
      </w:r>
      <w:r>
        <w:rPr>
          <w:rFonts w:hint="default" w:ascii="Arial" w:hAnsi="Arial"/>
          <w:spacing w:val="-1"/>
          <w:sz w:val="20"/>
          <w:szCs w:val="20"/>
        </w:rPr>
        <w:instrText xml:space="preserve"> HYPERLINK "https://doi.org/10.1080/17568919.2024.2383165" </w:instrText>
      </w:r>
      <w:r>
        <w:rPr>
          <w:rFonts w:hint="default" w:ascii="Arial" w:hAnsi="Arial"/>
          <w:spacing w:val="-1"/>
          <w:sz w:val="20"/>
          <w:szCs w:val="20"/>
        </w:rPr>
        <w:fldChar w:fldCharType="separate"/>
      </w:r>
      <w:r>
        <w:rPr>
          <w:rStyle w:val="7"/>
          <w:rFonts w:hint="default" w:ascii="Arial" w:hAnsi="Arial"/>
          <w:spacing w:val="-1"/>
          <w:sz w:val="20"/>
          <w:szCs w:val="20"/>
        </w:rPr>
        <w:t>https://doi.org/10.1080/17568919.2024.2383165</w:t>
      </w:r>
      <w:r>
        <w:rPr>
          <w:rFonts w:hint="default" w:ascii="Arial" w:hAnsi="Arial"/>
          <w:spacing w:val="-1"/>
          <w:sz w:val="20"/>
          <w:szCs w:val="20"/>
        </w:rPr>
        <w:fldChar w:fldCharType="end"/>
      </w:r>
    </w:p>
    <w:p w14:paraId="767EF07B">
      <w:pPr>
        <w:numPr>
          <w:ilvl w:val="0"/>
          <w:numId w:val="2"/>
        </w:numPr>
        <w:ind w:left="360"/>
        <w:jc w:val="both"/>
        <w:textAlignment w:val="baseline"/>
        <w:rPr>
          <w:rFonts w:ascii="Arial" w:hAnsi="Arial" w:cs="Arial"/>
          <w:spacing w:val="-1"/>
          <w:sz w:val="20"/>
          <w:szCs w:val="20"/>
        </w:rPr>
      </w:pPr>
      <w:r>
        <w:rPr>
          <w:rFonts w:hint="default" w:ascii="Arial" w:hAnsi="Arial"/>
          <w:spacing w:val="-1"/>
          <w:sz w:val="20"/>
          <w:szCs w:val="20"/>
        </w:rPr>
        <w:t xml:space="preserve">Shabbir, A., S. A. Shahzad, A. Y. A. Alzahrani, Z. A. Khan, M. Yar and </w:t>
      </w:r>
      <w:r>
        <w:rPr>
          <w:rFonts w:hint="default" w:ascii="Arial" w:hAnsi="Arial"/>
          <w:b/>
          <w:bCs/>
          <w:spacing w:val="-1"/>
          <w:sz w:val="20"/>
          <w:szCs w:val="20"/>
        </w:rPr>
        <w:t>W. Rauf</w:t>
      </w:r>
      <w:r>
        <w:rPr>
          <w:rFonts w:hint="default" w:ascii="Arial" w:hAnsi="Arial"/>
          <w:spacing w:val="-1"/>
          <w:sz w:val="20"/>
          <w:szCs w:val="20"/>
        </w:rPr>
        <w:t xml:space="preserve"> (2025). "A Multimode fluorescent sensor for sequential detection of Cu2+ and cysteine as well as pH sensor with real sample Applications: Extensive experimental and DFT studies." Spectrochimica Acta Part A: Molecular and Biomolecular Spectroscopy 327: 125414.</w:t>
      </w:r>
    </w:p>
    <w:p w14:paraId="0FE789B7">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Kiran S, Tariq A, Iqbal S, Naseem Z, Siddique W, Jabeen S, Bashir R, Hussain A, Rahman  M, Habib F, </w:t>
      </w:r>
      <w:r>
        <w:rPr>
          <w:rFonts w:ascii="Arial" w:hAnsi="Arial" w:cs="Arial"/>
          <w:b/>
          <w:bCs/>
          <w:spacing w:val="-1"/>
          <w:sz w:val="20"/>
          <w:szCs w:val="20"/>
        </w:rPr>
        <w:t>Rauf W</w:t>
      </w:r>
      <w:r>
        <w:rPr>
          <w:rFonts w:ascii="Arial" w:hAnsi="Arial" w:cs="Arial"/>
          <w:spacing w:val="-1"/>
          <w:sz w:val="20"/>
          <w:szCs w:val="20"/>
        </w:rPr>
        <w:t xml:space="preserve">, Ali A, Sarwar Y, Jander G, Iqbal, M. Punicalagin, a pomegranate polyphenol sensitizes the activity of antibiotics against three MDR pathogens of the Enterobacteriaceae. BMC Complement. Med. Ther. 2024, 24, 93. </w:t>
      </w:r>
    </w:p>
    <w:p w14:paraId="409ADFDD">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Naz F,  Ahmad A,  Sarwar Y,  Khan MM,  Schierack P,  </w:t>
      </w:r>
      <w:r>
        <w:rPr>
          <w:rFonts w:ascii="Arial" w:hAnsi="Arial" w:cs="Arial"/>
          <w:b/>
          <w:bCs/>
          <w:spacing w:val="-1"/>
          <w:sz w:val="20"/>
          <w:szCs w:val="20"/>
        </w:rPr>
        <w:t>Rauf W</w:t>
      </w:r>
      <w:r>
        <w:rPr>
          <w:rFonts w:ascii="Arial" w:hAnsi="Arial" w:cs="Arial"/>
          <w:spacing w:val="-1"/>
          <w:sz w:val="20"/>
          <w:szCs w:val="20"/>
        </w:rPr>
        <w:t>, Ali A. Characterization of Salmonella enterica Biofilms and Antibiofilm Effect of Carvacrol and 2-Aminobenzimidazole. Foodborne Pathog. Dis. 2023, 21 (1), 52-60.</w:t>
      </w:r>
    </w:p>
    <w:p w14:paraId="108AE579">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Assiri MA, Munir F, Waseem MT, Irshad H, </w:t>
      </w:r>
      <w:r>
        <w:rPr>
          <w:rFonts w:ascii="Arial" w:hAnsi="Arial" w:cs="Arial"/>
          <w:b/>
          <w:bCs/>
          <w:spacing w:val="-1"/>
          <w:sz w:val="20"/>
          <w:szCs w:val="20"/>
        </w:rPr>
        <w:t>Rauf W</w:t>
      </w:r>
      <w:r>
        <w:rPr>
          <w:rFonts w:ascii="Arial" w:hAnsi="Arial" w:cs="Arial"/>
          <w:spacing w:val="-1"/>
          <w:sz w:val="20"/>
          <w:szCs w:val="20"/>
        </w:rPr>
        <w:t>, Shahzad SA. Restricted intramolecular vibrations assisted enhanced fluorescence emission response of probe: A new experimental and theoretical approach for the detection of hydrogen peroxide. Microchem J 2023, 193,109220.</w:t>
      </w:r>
    </w:p>
    <w:p w14:paraId="6DBCCE98">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Assiri MA, Hanif S, Junaid HM, Hamad A, Irshad H, Yar M, </w:t>
      </w:r>
      <w:r>
        <w:rPr>
          <w:rFonts w:ascii="Arial" w:hAnsi="Arial" w:cs="Arial"/>
          <w:b/>
          <w:bCs/>
          <w:spacing w:val="-1"/>
          <w:sz w:val="20"/>
          <w:szCs w:val="20"/>
        </w:rPr>
        <w:t>Rauf W</w:t>
      </w:r>
      <w:r>
        <w:rPr>
          <w:rFonts w:ascii="Arial" w:hAnsi="Arial" w:cs="Arial"/>
          <w:spacing w:val="-1"/>
          <w:sz w:val="20"/>
          <w:szCs w:val="20"/>
        </w:rPr>
        <w:t xml:space="preserve">, Shahzad SA. AIEE active fluorophores for the sensitive detection of iron ions: An advanced approach towards optical and theoretical investigation, Journal of Photochemistry and Photobiology A: Chemistry 438:114514 (2022). </w:t>
      </w:r>
    </w:p>
    <w:p w14:paraId="7F4E989F">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Assiri MA, Hussain S, Junaid HM, Waseem MT, Hamad A, Ajab H, Iqbal J, </w:t>
      </w:r>
      <w:r>
        <w:rPr>
          <w:rFonts w:ascii="Arial" w:hAnsi="Arial" w:cs="Arial"/>
          <w:b/>
          <w:bCs/>
          <w:spacing w:val="-1"/>
          <w:sz w:val="20"/>
          <w:szCs w:val="20"/>
        </w:rPr>
        <w:t>Rauf W</w:t>
      </w:r>
      <w:r>
        <w:rPr>
          <w:rFonts w:ascii="Arial" w:hAnsi="Arial" w:cs="Arial"/>
          <w:spacing w:val="-1"/>
          <w:sz w:val="20"/>
          <w:szCs w:val="20"/>
        </w:rPr>
        <w:t>, Shahzad SA. Highly sensitive fluorescent probes for selective detection of hypochlorite: Applications in blood serum and cell imaging. Spectrochimica Acta Part A: Molecular and Biomolecular Spectroscopy 2023, 294, 122537.</w:t>
      </w:r>
    </w:p>
    <w:p w14:paraId="05421243">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Assiri MA, Junaid HM, Waseem MT, Hamad A, Shah SH, Iqbal J, </w:t>
      </w:r>
      <w:r>
        <w:rPr>
          <w:rFonts w:ascii="Arial" w:hAnsi="Arial" w:cs="Arial"/>
          <w:b/>
          <w:bCs/>
          <w:spacing w:val="-1"/>
          <w:sz w:val="20"/>
          <w:szCs w:val="20"/>
        </w:rPr>
        <w:t>Rauf W</w:t>
      </w:r>
      <w:r>
        <w:rPr>
          <w:rFonts w:ascii="Arial" w:hAnsi="Arial" w:cs="Arial"/>
          <w:spacing w:val="-1"/>
          <w:sz w:val="20"/>
          <w:szCs w:val="20"/>
        </w:rPr>
        <w:t>, Shahzad SA. AIEE active sensors for fluorescence enhancement based detection of Ni</w:t>
      </w:r>
      <w:r>
        <w:rPr>
          <w:rFonts w:ascii="Arial" w:hAnsi="Arial" w:cs="Arial"/>
          <w:spacing w:val="-1"/>
          <w:sz w:val="20"/>
          <w:szCs w:val="20"/>
          <w:vertAlign w:val="superscript"/>
        </w:rPr>
        <w:t>2+</w:t>
      </w:r>
      <w:r>
        <w:rPr>
          <w:rFonts w:ascii="Arial" w:hAnsi="Arial" w:cs="Arial"/>
          <w:spacing w:val="-1"/>
          <w:sz w:val="20"/>
          <w:szCs w:val="20"/>
        </w:rPr>
        <w:t xml:space="preserve"> in living cells: Mechanofluorochromic and photochromic properties with reversible sensing of acid and base. </w:t>
      </w:r>
      <w:r>
        <w:rPr>
          <w:rFonts w:ascii="Arial" w:hAnsi="Arial" w:cs="Arial"/>
          <w:i/>
          <w:sz w:val="20"/>
          <w:szCs w:val="20"/>
        </w:rPr>
        <w:t>Anal Chim Acta.</w:t>
      </w:r>
      <w:r>
        <w:rPr>
          <w:rFonts w:ascii="Arial" w:hAnsi="Arial" w:cs="Arial"/>
          <w:spacing w:val="-1"/>
          <w:sz w:val="20"/>
          <w:szCs w:val="20"/>
        </w:rPr>
        <w:t xml:space="preserve"> 2022, 1234:340516. </w:t>
      </w:r>
    </w:p>
    <w:p w14:paraId="52C3499D">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Hussain S, Muhammad Junaid H, Tahir Waseem M, </w:t>
      </w:r>
      <w:r>
        <w:rPr>
          <w:rFonts w:ascii="Arial" w:hAnsi="Arial" w:cs="Arial"/>
          <w:b/>
          <w:bCs/>
          <w:spacing w:val="-1"/>
          <w:sz w:val="20"/>
          <w:szCs w:val="20"/>
        </w:rPr>
        <w:t>Rauf W</w:t>
      </w:r>
      <w:r>
        <w:rPr>
          <w:rFonts w:ascii="Arial" w:hAnsi="Arial" w:cs="Arial"/>
          <w:spacing w:val="-1"/>
          <w:sz w:val="20"/>
          <w:szCs w:val="20"/>
        </w:rPr>
        <w:t>, Jabbar Shaikh A, Anjum Shahzad S. Aggregation-Induced Emission of Quinoline Based Fluorescent and Colorimetric Sensors for Rapid Detection of Fe</w:t>
      </w:r>
      <w:r>
        <w:rPr>
          <w:rFonts w:ascii="Arial" w:hAnsi="Arial" w:cs="Arial"/>
          <w:spacing w:val="-1"/>
          <w:sz w:val="20"/>
          <w:szCs w:val="20"/>
          <w:vertAlign w:val="superscript"/>
        </w:rPr>
        <w:t>3+</w:t>
      </w:r>
      <w:r>
        <w:rPr>
          <w:rFonts w:ascii="Arial" w:hAnsi="Arial" w:cs="Arial"/>
          <w:spacing w:val="-1"/>
          <w:sz w:val="20"/>
          <w:szCs w:val="20"/>
        </w:rPr>
        <w:t xml:space="preserve"> and 4-Nitrophenol in Aqueous Medium. </w:t>
      </w:r>
      <w:r>
        <w:rPr>
          <w:rFonts w:ascii="Arial" w:hAnsi="Arial" w:cs="Arial"/>
          <w:i/>
          <w:sz w:val="20"/>
          <w:szCs w:val="20"/>
        </w:rPr>
        <w:t>Spectrochimica Acta Part A: Molecular and Biomolecular Spectroscopy</w:t>
      </w:r>
      <w:r>
        <w:rPr>
          <w:rFonts w:ascii="Arial" w:hAnsi="Arial" w:cs="Arial"/>
          <w:spacing w:val="-1"/>
          <w:sz w:val="20"/>
          <w:szCs w:val="20"/>
        </w:rPr>
        <w:t xml:space="preserve"> 2022, 272:121021. </w:t>
      </w:r>
    </w:p>
    <w:p w14:paraId="28EBEB7F">
      <w:pPr>
        <w:numPr>
          <w:ilvl w:val="0"/>
          <w:numId w:val="2"/>
        </w:numPr>
        <w:ind w:left="360"/>
        <w:jc w:val="both"/>
        <w:textAlignment w:val="baseline"/>
        <w:rPr>
          <w:rFonts w:ascii="Arial" w:hAnsi="Arial" w:cs="Arial"/>
          <w:sz w:val="20"/>
          <w:szCs w:val="20"/>
        </w:rPr>
      </w:pPr>
      <w:r>
        <w:rPr>
          <w:rFonts w:ascii="Arial" w:hAnsi="Arial" w:cs="Arial"/>
          <w:sz w:val="20"/>
          <w:szCs w:val="20"/>
        </w:rPr>
        <w:t xml:space="preserve">Ashraf, A.; Khizar, M.; Islam, M.; Hameed, A.; Moin, S. T.; Yaqub, M.; </w:t>
      </w:r>
      <w:r>
        <w:rPr>
          <w:rFonts w:ascii="Arial" w:hAnsi="Arial" w:cs="Arial"/>
          <w:b/>
          <w:sz w:val="20"/>
          <w:szCs w:val="20"/>
        </w:rPr>
        <w:t>Rauf, W.</w:t>
      </w:r>
      <w:r>
        <w:rPr>
          <w:rFonts w:ascii="Arial" w:hAnsi="Arial" w:cs="Arial"/>
          <w:sz w:val="20"/>
          <w:szCs w:val="20"/>
        </w:rPr>
        <w:t xml:space="preserve">; Naseer, M. M.; Ahsan, M. T.; Shafiq, Z.; Hussain, J.; Al-Harrasi, A.; Boque, R.; Jabeen, F.; Mabood, F. Synthesis of sensitive novel dual Signaling pyridopyrimidine-based fluorescent "turn off" chemosensors for anions determination. </w:t>
      </w:r>
      <w:r>
        <w:rPr>
          <w:rFonts w:ascii="Arial" w:hAnsi="Arial" w:cs="Arial"/>
          <w:i/>
          <w:sz w:val="20"/>
          <w:szCs w:val="20"/>
        </w:rPr>
        <w:t>Measurement</w:t>
      </w:r>
      <w:r>
        <w:rPr>
          <w:rFonts w:ascii="Arial" w:hAnsi="Arial" w:cs="Arial"/>
          <w:sz w:val="20"/>
          <w:szCs w:val="20"/>
        </w:rPr>
        <w:t xml:space="preserve"> 2020, </w:t>
      </w:r>
      <w:r>
        <w:rPr>
          <w:rFonts w:ascii="Arial" w:hAnsi="Arial" w:cs="Arial"/>
          <w:i/>
          <w:sz w:val="20"/>
          <w:szCs w:val="20"/>
        </w:rPr>
        <w:t xml:space="preserve">151. </w:t>
      </w:r>
    </w:p>
    <w:p w14:paraId="7DB62A58">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Sarwat, A., </w:t>
      </w:r>
      <w:r>
        <w:rPr>
          <w:rFonts w:ascii="Arial" w:hAnsi="Arial" w:cs="Arial"/>
          <w:b/>
          <w:bCs/>
          <w:spacing w:val="-1"/>
          <w:sz w:val="20"/>
          <w:szCs w:val="20"/>
        </w:rPr>
        <w:t>Rauf, W.</w:t>
      </w:r>
      <w:r>
        <w:rPr>
          <w:rFonts w:ascii="Arial" w:hAnsi="Arial" w:cs="Arial"/>
          <w:spacing w:val="-1"/>
          <w:sz w:val="20"/>
          <w:szCs w:val="20"/>
        </w:rPr>
        <w:t xml:space="preserve">, Majeed, S., De Boevre, M., De Saeger, S., Iqbal, M. (2022) LC-MS/MS based appraisal of multi-mycotoxin co-occurrence in poultry feeds from different regions of Punjab, Pakistan. </w:t>
      </w:r>
      <w:r>
        <w:rPr>
          <w:rFonts w:ascii="Arial" w:hAnsi="Arial" w:cs="Arial"/>
          <w:i/>
          <w:sz w:val="20"/>
          <w:szCs w:val="20"/>
        </w:rPr>
        <w:t>Food Additives &amp; Contaminants: Part B</w:t>
      </w:r>
      <w:r>
        <w:rPr>
          <w:rFonts w:ascii="Arial" w:hAnsi="Arial" w:cs="Arial"/>
          <w:spacing w:val="-1"/>
          <w:sz w:val="20"/>
          <w:szCs w:val="20"/>
        </w:rPr>
        <w:t>, 15:2, 106-122.</w:t>
      </w:r>
    </w:p>
    <w:p w14:paraId="50836F8C">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Ullah, F., </w:t>
      </w:r>
      <w:r>
        <w:rPr>
          <w:rFonts w:ascii="Arial" w:hAnsi="Arial" w:cs="Arial"/>
          <w:b/>
          <w:bCs/>
          <w:spacing w:val="-1"/>
          <w:sz w:val="20"/>
          <w:szCs w:val="20"/>
        </w:rPr>
        <w:t>Rauf, W.,</w:t>
      </w:r>
      <w:r>
        <w:rPr>
          <w:rFonts w:ascii="Arial" w:hAnsi="Arial" w:cs="Arial"/>
          <w:spacing w:val="-1"/>
          <w:sz w:val="20"/>
          <w:szCs w:val="20"/>
        </w:rPr>
        <w:t xml:space="preserve"> Khan, K., Khan, S., Bell, K.M., Vanessa Cristina de Oliveira, Tariq, M., Bakhshalizadeh, S., Touraine, P., Katsanis, N., Sinclair, A., He, S.,  Tucker, E.J., Baig, S.M. &amp; Erica E. Davis. A recessive variant in TFAM causes mtDNA depletion associated with primary ovarian insufficiency, seizures, intellectual disability and hearing loss. </w:t>
      </w:r>
      <w:r>
        <w:rPr>
          <w:rFonts w:ascii="Arial" w:hAnsi="Arial" w:cs="Arial"/>
          <w:i/>
          <w:sz w:val="20"/>
          <w:szCs w:val="20"/>
        </w:rPr>
        <w:t>Hum Genet</w:t>
      </w:r>
      <w:r>
        <w:rPr>
          <w:rFonts w:ascii="Arial" w:hAnsi="Arial" w:cs="Arial"/>
          <w:spacing w:val="-1"/>
          <w:sz w:val="20"/>
          <w:szCs w:val="20"/>
        </w:rPr>
        <w:t xml:space="preserve"> 140, 1733–1751 (2021). </w:t>
      </w:r>
    </w:p>
    <w:p w14:paraId="5D5B382E">
      <w:pPr>
        <w:numPr>
          <w:ilvl w:val="0"/>
          <w:numId w:val="2"/>
        </w:numPr>
        <w:ind w:left="360"/>
        <w:jc w:val="both"/>
        <w:textAlignment w:val="baseline"/>
        <w:rPr>
          <w:rFonts w:ascii="Arial" w:hAnsi="Arial" w:cs="Arial"/>
          <w:spacing w:val="-1"/>
          <w:sz w:val="20"/>
          <w:szCs w:val="20"/>
        </w:rPr>
      </w:pPr>
      <w:r>
        <w:rPr>
          <w:rFonts w:ascii="Arial" w:hAnsi="Arial" w:cs="Arial"/>
          <w:spacing w:val="-1"/>
          <w:sz w:val="20"/>
          <w:szCs w:val="20"/>
        </w:rPr>
        <w:t xml:space="preserve">Khan, M., </w:t>
      </w:r>
      <w:r>
        <w:rPr>
          <w:rFonts w:ascii="Arial" w:hAnsi="Arial" w:cs="Arial"/>
          <w:b/>
          <w:bCs/>
          <w:spacing w:val="-1"/>
          <w:sz w:val="20"/>
          <w:szCs w:val="20"/>
        </w:rPr>
        <w:t>Rauf, W.</w:t>
      </w:r>
      <w:r>
        <w:rPr>
          <w:rFonts w:ascii="Arial" w:hAnsi="Arial" w:cs="Arial"/>
          <w:spacing w:val="-1"/>
          <w:sz w:val="20"/>
          <w:szCs w:val="20"/>
        </w:rPr>
        <w:t xml:space="preserve">, Habib, F., Rahman, M., Iqbal, S., Shehzad, A., &amp; Iqbal, M. Hesperidin identified from Citrus extracts potently inhibits HCV genotype 3a NS3 protease. </w:t>
      </w:r>
      <w:r>
        <w:rPr>
          <w:rFonts w:ascii="Arial" w:hAnsi="Arial" w:cs="Arial"/>
          <w:i/>
          <w:sz w:val="20"/>
          <w:szCs w:val="20"/>
        </w:rPr>
        <w:t>BMC Complement Med Ther</w:t>
      </w:r>
      <w:r>
        <w:rPr>
          <w:rFonts w:ascii="Arial" w:hAnsi="Arial" w:cs="Arial"/>
          <w:spacing w:val="-1"/>
          <w:sz w:val="20"/>
          <w:szCs w:val="20"/>
        </w:rPr>
        <w:t xml:space="preserve"> 22, 98 (2022). </w:t>
      </w:r>
    </w:p>
    <w:p w14:paraId="50C5DF5D">
      <w:pPr>
        <w:numPr>
          <w:ilvl w:val="0"/>
          <w:numId w:val="2"/>
        </w:numPr>
        <w:ind w:left="360"/>
        <w:jc w:val="both"/>
        <w:textAlignment w:val="baseline"/>
        <w:rPr>
          <w:rFonts w:ascii="Arial" w:hAnsi="Arial" w:cs="Arial"/>
          <w:spacing w:val="-1"/>
          <w:sz w:val="16"/>
          <w:szCs w:val="16"/>
        </w:rPr>
      </w:pPr>
      <w:r>
        <w:rPr>
          <w:rFonts w:ascii="Arial" w:hAnsi="Arial" w:cs="Arial"/>
          <w:spacing w:val="-1"/>
          <w:sz w:val="20"/>
          <w:szCs w:val="20"/>
        </w:rPr>
        <w:t xml:space="preserve">Ashraf, A.; Shafiq, Z.; Mahmood. K.; Yaqub, M.; </w:t>
      </w:r>
      <w:r>
        <w:rPr>
          <w:rFonts w:ascii="Arial" w:hAnsi="Arial" w:cs="Arial"/>
          <w:b/>
          <w:spacing w:val="-1"/>
          <w:sz w:val="20"/>
          <w:szCs w:val="20"/>
        </w:rPr>
        <w:t xml:space="preserve">Rauf, W. </w:t>
      </w:r>
      <w:r>
        <w:rPr>
          <w:rFonts w:ascii="Arial" w:hAnsi="Arial" w:cs="Arial"/>
          <w:spacing w:val="-1"/>
          <w:sz w:val="20"/>
          <w:szCs w:val="20"/>
        </w:rPr>
        <w:t xml:space="preserve">Regioselective, One-pot, Multi-component, Green Synthesis of Substituted Benzo[c]pyrazolo[2,7]naphthyridines. </w:t>
      </w:r>
      <w:r>
        <w:rPr>
          <w:rFonts w:ascii="Arial" w:hAnsi="Arial" w:cs="Arial"/>
          <w:i/>
          <w:spacing w:val="-1"/>
          <w:sz w:val="20"/>
          <w:szCs w:val="20"/>
        </w:rPr>
        <w:t xml:space="preserve">RSC Advances </w:t>
      </w:r>
      <w:r>
        <w:rPr>
          <w:rFonts w:ascii="Arial" w:hAnsi="Arial" w:cs="Arial"/>
          <w:spacing w:val="-1"/>
          <w:sz w:val="20"/>
          <w:szCs w:val="20"/>
        </w:rPr>
        <w:t>2020, 10(10),  5938-5950.</w:t>
      </w:r>
    </w:p>
    <w:p w14:paraId="5216C6B4">
      <w:pPr>
        <w:numPr>
          <w:ilvl w:val="0"/>
          <w:numId w:val="2"/>
        </w:numPr>
        <w:ind w:left="360"/>
        <w:jc w:val="both"/>
        <w:textAlignment w:val="baseline"/>
        <w:rPr>
          <w:rFonts w:ascii="Arial" w:hAnsi="Arial" w:cs="Arial"/>
          <w:sz w:val="20"/>
          <w:szCs w:val="20"/>
        </w:rPr>
      </w:pPr>
      <w:r>
        <w:rPr>
          <w:rFonts w:ascii="Arial" w:hAnsi="Arial" w:cs="Arial"/>
          <w:sz w:val="20"/>
          <w:szCs w:val="20"/>
        </w:rPr>
        <w:t xml:space="preserve">Ashraf, A.; Khalid, M.; Tahir, M. N.; Yaqub, M.; Naseer, M. M.; Kamal, G. M.; Saifullah, B.; Braga, A. A. C.; Shafiq, Z.; </w:t>
      </w:r>
      <w:r>
        <w:rPr>
          <w:rFonts w:ascii="Arial" w:hAnsi="Arial" w:cs="Arial"/>
          <w:b/>
          <w:sz w:val="20"/>
          <w:szCs w:val="20"/>
        </w:rPr>
        <w:t xml:space="preserve">Rauf, W. </w:t>
      </w:r>
      <w:r>
        <w:rPr>
          <w:rFonts w:ascii="Arial" w:hAnsi="Arial" w:cs="Arial"/>
          <w:sz w:val="20"/>
          <w:szCs w:val="20"/>
        </w:rPr>
        <w:t xml:space="preserve">A facile and concise route to (hydroxybenzoyl)pyrido 2,3-d pyrimidine heterocycle derivatives: synthesis, and structural, spectral and computational exploration. </w:t>
      </w:r>
      <w:r>
        <w:rPr>
          <w:rFonts w:ascii="Arial" w:hAnsi="Arial" w:cs="Arial"/>
          <w:i/>
          <w:sz w:val="20"/>
          <w:szCs w:val="20"/>
        </w:rPr>
        <w:t>RSC Advances</w:t>
      </w:r>
      <w:r>
        <w:rPr>
          <w:rFonts w:ascii="Arial" w:hAnsi="Arial" w:cs="Arial"/>
          <w:sz w:val="20"/>
          <w:szCs w:val="20"/>
        </w:rPr>
        <w:t xml:space="preserve"> 2019, 9, 34567-34580. </w:t>
      </w:r>
    </w:p>
    <w:p w14:paraId="4ED1D203">
      <w:pPr>
        <w:numPr>
          <w:ilvl w:val="0"/>
          <w:numId w:val="2"/>
        </w:numPr>
        <w:ind w:left="360"/>
        <w:jc w:val="both"/>
        <w:textAlignment w:val="baseline"/>
        <w:rPr>
          <w:rFonts w:ascii="Arial" w:hAnsi="Arial" w:cs="Arial"/>
          <w:sz w:val="20"/>
          <w:szCs w:val="20"/>
        </w:rPr>
      </w:pPr>
      <w:r>
        <w:rPr>
          <w:rFonts w:ascii="Arial" w:hAnsi="Arial" w:cs="Arial"/>
          <w:color w:val="1C1D1E"/>
          <w:sz w:val="20"/>
          <w:szCs w:val="20"/>
          <w:shd w:val="clear" w:color="auto" w:fill="FFFFFF"/>
        </w:rPr>
        <w:t xml:space="preserve">Tariq, A. , Sana, M. , Shaheen, A. , Ismat, F. , Mahboob, S. , </w:t>
      </w:r>
      <w:r>
        <w:rPr>
          <w:rFonts w:ascii="Arial" w:hAnsi="Arial" w:cs="Arial"/>
          <w:b/>
          <w:color w:val="1C1D1E"/>
          <w:sz w:val="20"/>
          <w:szCs w:val="20"/>
          <w:shd w:val="clear" w:color="auto" w:fill="FFFFFF"/>
        </w:rPr>
        <w:t>Rauf, W.</w:t>
      </w:r>
      <w:r>
        <w:rPr>
          <w:rFonts w:ascii="Arial" w:hAnsi="Arial" w:cs="Arial"/>
          <w:color w:val="1C1D1E"/>
          <w:sz w:val="20"/>
          <w:szCs w:val="20"/>
          <w:shd w:val="clear" w:color="auto" w:fill="FFFFFF"/>
        </w:rPr>
        <w:t xml:space="preserve"> , Mirza, O. , Iqbal, M. and Rahman, M. Restraining the multidrug efflux transporter STY4874 of </w:t>
      </w:r>
      <w:r>
        <w:rPr>
          <w:rFonts w:ascii="Arial" w:hAnsi="Arial" w:cs="Arial"/>
          <w:i/>
          <w:iCs/>
          <w:color w:val="1C1D1E"/>
          <w:sz w:val="20"/>
          <w:szCs w:val="20"/>
          <w:shd w:val="clear" w:color="auto" w:fill="FFFFFF"/>
        </w:rPr>
        <w:t>Salmonella</w:t>
      </w:r>
      <w:r>
        <w:rPr>
          <w:rFonts w:ascii="Arial" w:hAnsi="Arial" w:cs="Arial"/>
          <w:color w:val="1C1D1E"/>
          <w:sz w:val="20"/>
          <w:szCs w:val="20"/>
          <w:shd w:val="clear" w:color="auto" w:fill="FFFFFF"/>
        </w:rPr>
        <w:t xml:space="preserve"> Typhi by reserpine and plant extracts. </w:t>
      </w:r>
      <w:r>
        <w:rPr>
          <w:rFonts w:ascii="Arial" w:hAnsi="Arial" w:cs="Arial"/>
          <w:i/>
          <w:color w:val="1C1D1E"/>
          <w:sz w:val="20"/>
          <w:szCs w:val="20"/>
          <w:shd w:val="clear" w:color="auto" w:fill="FFFFFF"/>
        </w:rPr>
        <w:t>Lett Appl Microbiol</w:t>
      </w:r>
      <w:r>
        <w:rPr>
          <w:rFonts w:ascii="Arial" w:hAnsi="Arial" w:cs="Arial"/>
          <w:color w:val="1C1D1E"/>
          <w:sz w:val="20"/>
          <w:szCs w:val="20"/>
          <w:shd w:val="clear" w:color="auto" w:fill="FFFFFF"/>
        </w:rPr>
        <w:t xml:space="preserve"> 2019, 69: 161-167. </w:t>
      </w:r>
    </w:p>
    <w:p w14:paraId="6272A922">
      <w:pPr>
        <w:numPr>
          <w:ilvl w:val="0"/>
          <w:numId w:val="2"/>
        </w:numPr>
        <w:ind w:left="360"/>
        <w:jc w:val="both"/>
        <w:textAlignment w:val="baseline"/>
        <w:rPr>
          <w:rFonts w:ascii="Arial" w:hAnsi="Arial" w:cs="Arial"/>
          <w:sz w:val="20"/>
          <w:szCs w:val="20"/>
        </w:rPr>
      </w:pPr>
      <w:r>
        <w:rPr>
          <w:rFonts w:ascii="Arial" w:hAnsi="Arial" w:cs="Arial"/>
          <w:sz w:val="20"/>
          <w:szCs w:val="20"/>
        </w:rPr>
        <w:t xml:space="preserve">Majeed, S.; De Boevre, M.; De Saeger, S.; </w:t>
      </w:r>
      <w:r>
        <w:rPr>
          <w:rFonts w:ascii="Arial" w:hAnsi="Arial" w:cs="Arial"/>
          <w:b/>
          <w:sz w:val="20"/>
          <w:szCs w:val="20"/>
        </w:rPr>
        <w:t>Rauf, W.</w:t>
      </w:r>
      <w:r>
        <w:rPr>
          <w:rFonts w:ascii="Arial" w:hAnsi="Arial" w:cs="Arial"/>
          <w:sz w:val="20"/>
          <w:szCs w:val="20"/>
        </w:rPr>
        <w:t xml:space="preserve">; Tawab, A.; Fazal-e-Habib; Rahman, M.; Iqbal, M.; </w:t>
      </w:r>
      <w:r>
        <w:rPr>
          <w:rFonts w:ascii="Arial" w:hAnsi="Arial" w:cs="Arial"/>
          <w:color w:val="222222"/>
          <w:sz w:val="20"/>
          <w:szCs w:val="20"/>
          <w:shd w:val="clear" w:color="auto" w:fill="FFFFFF"/>
        </w:rPr>
        <w:t xml:space="preserve">Multiple Mycotoxins in Rice: Occurrence and Health Risk Assessment in Children and Adults of Punjab, Pakistan. </w:t>
      </w:r>
      <w:r>
        <w:rPr>
          <w:rFonts w:ascii="Arial" w:hAnsi="Arial" w:cs="Arial"/>
          <w:i/>
          <w:sz w:val="20"/>
          <w:szCs w:val="20"/>
        </w:rPr>
        <w:t>Toxins</w:t>
      </w:r>
      <w:r>
        <w:rPr>
          <w:rFonts w:ascii="Arial" w:hAnsi="Arial" w:cs="Arial"/>
          <w:color w:val="222222"/>
          <w:sz w:val="20"/>
          <w:szCs w:val="20"/>
          <w:shd w:val="clear" w:color="auto" w:fill="FFFFFF"/>
        </w:rPr>
        <w:t> </w:t>
      </w:r>
      <w:r>
        <w:rPr>
          <w:rFonts w:ascii="Arial" w:hAnsi="Arial" w:cs="Arial"/>
          <w:bCs/>
          <w:color w:val="222222"/>
          <w:sz w:val="20"/>
          <w:szCs w:val="20"/>
          <w:shd w:val="clear" w:color="auto" w:fill="FFFFFF"/>
        </w:rPr>
        <w:t>2018</w:t>
      </w:r>
      <w:r>
        <w:rPr>
          <w:rFonts w:ascii="Arial" w:hAnsi="Arial" w:cs="Arial"/>
          <w:color w:val="222222"/>
          <w:sz w:val="20"/>
          <w:szCs w:val="20"/>
          <w:shd w:val="clear" w:color="auto" w:fill="FFFFFF"/>
        </w:rPr>
        <w:t>, </w:t>
      </w:r>
      <w:r>
        <w:rPr>
          <w:rStyle w:val="6"/>
          <w:rFonts w:ascii="Arial" w:hAnsi="Arial" w:cs="Arial"/>
          <w:color w:val="222222"/>
          <w:sz w:val="20"/>
          <w:szCs w:val="20"/>
          <w:shd w:val="clear" w:color="auto" w:fill="FFFFFF"/>
        </w:rPr>
        <w:t>10</w:t>
      </w:r>
      <w:r>
        <w:rPr>
          <w:rFonts w:ascii="Arial" w:hAnsi="Arial" w:cs="Arial"/>
          <w:color w:val="222222"/>
          <w:sz w:val="20"/>
          <w:szCs w:val="20"/>
          <w:shd w:val="clear" w:color="auto" w:fill="FFFFFF"/>
        </w:rPr>
        <w:t xml:space="preserve">(2), 77. </w:t>
      </w:r>
    </w:p>
    <w:p w14:paraId="63CF7AB4">
      <w:pPr>
        <w:numPr>
          <w:ilvl w:val="0"/>
          <w:numId w:val="2"/>
        </w:numPr>
        <w:ind w:left="360"/>
        <w:jc w:val="both"/>
        <w:textAlignment w:val="baseline"/>
        <w:rPr>
          <w:rFonts w:ascii="Arial" w:hAnsi="Arial" w:cs="Arial"/>
          <w:sz w:val="20"/>
          <w:szCs w:val="20"/>
        </w:rPr>
      </w:pPr>
      <w:r>
        <w:rPr>
          <w:rFonts w:ascii="Arial" w:hAnsi="Arial" w:cs="Arial"/>
          <w:sz w:val="20"/>
          <w:szCs w:val="20"/>
        </w:rPr>
        <w:t xml:space="preserve">Imran, M.; Fazal-e-Habib.; Majeed, S.; Tawab, A.; </w:t>
      </w:r>
      <w:r>
        <w:rPr>
          <w:rFonts w:ascii="Arial" w:hAnsi="Arial" w:cs="Arial"/>
          <w:b/>
          <w:sz w:val="20"/>
          <w:szCs w:val="20"/>
        </w:rPr>
        <w:t>Rauf, W,</w:t>
      </w:r>
      <w:r>
        <w:rPr>
          <w:rFonts w:ascii="Arial" w:hAnsi="Arial" w:cs="Arial"/>
          <w:sz w:val="20"/>
          <w:szCs w:val="20"/>
        </w:rPr>
        <w:t xml:space="preserve"> Rahman, M.; Umer, M and M. Iqbal.: LC-MS/MS-based determination of chloramphenicol, thiamphenicol, florfenicol and florfenicol amine in poultry meat from the Punjab-Pakistan. </w:t>
      </w:r>
      <w:r>
        <w:rPr>
          <w:rFonts w:ascii="Arial" w:hAnsi="Arial" w:cs="Arial"/>
          <w:i/>
          <w:sz w:val="20"/>
          <w:szCs w:val="20"/>
        </w:rPr>
        <w:t>Food Additives and Contaminants Part A-Chemistry Analysis Control Exposure &amp; Risk Assessment</w:t>
      </w:r>
      <w:r>
        <w:rPr>
          <w:rFonts w:ascii="Arial" w:hAnsi="Arial" w:cs="Arial"/>
          <w:sz w:val="20"/>
          <w:szCs w:val="20"/>
        </w:rPr>
        <w:t>, 2018, 35, 1530-1542.</w:t>
      </w:r>
    </w:p>
    <w:p w14:paraId="29A3472D">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Brown, J. M. </w:t>
      </w:r>
      <w:r>
        <w:rPr>
          <w:rFonts w:ascii="Arial" w:hAnsi="Arial" w:cs="Arial"/>
          <w:color w:val="222222"/>
          <w:sz w:val="20"/>
          <w:szCs w:val="20"/>
          <w:shd w:val="clear" w:color="auto" w:fill="FFFFFF"/>
        </w:rPr>
        <w:t xml:space="preserve">Mechanisms for C(sp2)-Si Activation of Aryltrimethylsilyl Groups in Palladium-catalysed Couplings. </w:t>
      </w:r>
      <w:r>
        <w:rPr>
          <w:rFonts w:ascii="Arial" w:hAnsi="Arial" w:cs="Arial"/>
          <w:i/>
          <w:sz w:val="20"/>
          <w:szCs w:val="20"/>
        </w:rPr>
        <w:t>Org. Biomol. Chem.</w:t>
      </w:r>
      <w:r>
        <w:rPr>
          <w:rFonts w:ascii="Arial" w:hAnsi="Arial" w:cs="Arial"/>
          <w:sz w:val="20"/>
          <w:szCs w:val="20"/>
        </w:rPr>
        <w:t xml:space="preserve"> 2017, 15(38), 8179-8185.</w:t>
      </w:r>
    </w:p>
    <w:p w14:paraId="77EE3F85">
      <w:pPr>
        <w:numPr>
          <w:ilvl w:val="0"/>
          <w:numId w:val="2"/>
        </w:numPr>
        <w:ind w:left="360"/>
        <w:jc w:val="both"/>
        <w:textAlignment w:val="baseline"/>
        <w:rPr>
          <w:rFonts w:ascii="Arial" w:hAnsi="Arial" w:cs="Arial"/>
          <w:sz w:val="20"/>
          <w:szCs w:val="20"/>
        </w:rPr>
      </w:pP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sz w:val="20"/>
          <w:szCs w:val="20"/>
        </w:rPr>
        <w:t>Imran</w:t>
      </w:r>
      <w:r>
        <w:rPr>
          <w:rFonts w:ascii="Arial" w:hAnsi="Arial" w:cs="Arial"/>
          <w:sz w:val="20"/>
          <w:szCs w:val="20"/>
        </w:rPr>
        <w:fldChar w:fldCharType="end"/>
      </w:r>
      <w:r>
        <w:rPr>
          <w:rFonts w:ascii="Arial" w:hAnsi="Arial" w:cs="Arial"/>
          <w:sz w:val="20"/>
          <w:szCs w:val="20"/>
        </w:rPr>
        <w:t xml:space="preserve">, M.; Fazal-E-Habib., </w:t>
      </w: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sz w:val="20"/>
          <w:szCs w:val="20"/>
        </w:rPr>
        <w:t>Tawab</w:t>
      </w:r>
      <w:r>
        <w:rPr>
          <w:rFonts w:ascii="Arial" w:hAnsi="Arial" w:cs="Arial"/>
          <w:sz w:val="20"/>
          <w:szCs w:val="20"/>
        </w:rPr>
        <w:fldChar w:fldCharType="end"/>
      </w:r>
      <w:r>
        <w:rPr>
          <w:rFonts w:ascii="Arial" w:hAnsi="Arial" w:cs="Arial"/>
          <w:sz w:val="20"/>
          <w:szCs w:val="20"/>
        </w:rPr>
        <w:t xml:space="preserve">, A.; </w:t>
      </w: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b/>
          <w:sz w:val="20"/>
          <w:szCs w:val="20"/>
        </w:rPr>
        <w:t>Rauf</w:t>
      </w:r>
      <w:r>
        <w:rPr>
          <w:rFonts w:ascii="Arial" w:hAnsi="Arial" w:cs="Arial"/>
          <w:b/>
          <w:sz w:val="20"/>
          <w:szCs w:val="20"/>
        </w:rPr>
        <w:fldChar w:fldCharType="end"/>
      </w:r>
      <w:r>
        <w:rPr>
          <w:rFonts w:ascii="Arial" w:hAnsi="Arial" w:cs="Arial"/>
          <w:b/>
          <w:sz w:val="20"/>
          <w:szCs w:val="20"/>
        </w:rPr>
        <w:t>, W.</w:t>
      </w:r>
      <w:r>
        <w:rPr>
          <w:rFonts w:ascii="Arial" w:hAnsi="Arial" w:cs="Arial"/>
          <w:sz w:val="20"/>
          <w:szCs w:val="20"/>
        </w:rPr>
        <w:t xml:space="preserve">; </w:t>
      </w: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sz w:val="20"/>
          <w:szCs w:val="20"/>
        </w:rPr>
        <w:t>Rahman</w:t>
      </w:r>
      <w:r>
        <w:rPr>
          <w:rFonts w:ascii="Arial" w:hAnsi="Arial" w:cs="Arial"/>
          <w:sz w:val="20"/>
          <w:szCs w:val="20"/>
        </w:rPr>
        <w:fldChar w:fldCharType="end"/>
      </w:r>
      <w:r>
        <w:rPr>
          <w:rFonts w:ascii="Arial" w:hAnsi="Arial" w:cs="Arial"/>
          <w:sz w:val="20"/>
          <w:szCs w:val="20"/>
        </w:rPr>
        <w:t xml:space="preserve">, M.; </w:t>
      </w: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sz w:val="20"/>
          <w:szCs w:val="20"/>
        </w:rPr>
        <w:t>Khan</w:t>
      </w:r>
      <w:r>
        <w:rPr>
          <w:rFonts w:ascii="Arial" w:hAnsi="Arial" w:cs="Arial"/>
          <w:sz w:val="20"/>
          <w:szCs w:val="20"/>
        </w:rPr>
        <w:fldChar w:fldCharType="end"/>
      </w:r>
      <w:r>
        <w:rPr>
          <w:rFonts w:ascii="Arial" w:hAnsi="Arial" w:cs="Arial"/>
          <w:sz w:val="20"/>
          <w:szCs w:val="20"/>
        </w:rPr>
        <w:t xml:space="preserve">, Q.M.; Asi </w:t>
      </w:r>
      <w:r>
        <w:rPr>
          <w:sz w:val="16"/>
          <w:szCs w:val="16"/>
        </w:rPr>
        <w:fldChar w:fldCharType="begin"/>
      </w:r>
      <w:r>
        <w:rPr>
          <w:sz w:val="16"/>
          <w:szCs w:val="16"/>
        </w:rPr>
        <w:instrText xml:space="preserve"> HYPERLINK "http://www.sciencedirect.com/science/article/pii/S1570023217306207" </w:instrText>
      </w:r>
      <w:r>
        <w:rPr>
          <w:sz w:val="16"/>
          <w:szCs w:val="16"/>
        </w:rPr>
        <w:fldChar w:fldCharType="separate"/>
      </w:r>
      <w:r>
        <w:rPr>
          <w:rFonts w:ascii="Arial" w:hAnsi="Arial" w:cs="Arial"/>
          <w:sz w:val="20"/>
          <w:szCs w:val="20"/>
        </w:rPr>
        <w:t>M. R.</w:t>
      </w:r>
      <w:r>
        <w:rPr>
          <w:rFonts w:ascii="Arial" w:hAnsi="Arial" w:cs="Arial"/>
          <w:sz w:val="20"/>
          <w:szCs w:val="20"/>
        </w:rPr>
        <w:fldChar w:fldCharType="end"/>
      </w:r>
      <w:r>
        <w:rPr>
          <w:rFonts w:ascii="Arial" w:hAnsi="Arial" w:cs="Arial"/>
          <w:sz w:val="20"/>
          <w:szCs w:val="20"/>
        </w:rPr>
        <w:t xml:space="preserve">, Iqbal, M. LC–MS/MS based method development for the analysis of florfenicol and its application to estimate relative distribution in various tissues of broiler chicken. </w:t>
      </w:r>
      <w:r>
        <w:rPr>
          <w:sz w:val="16"/>
          <w:szCs w:val="16"/>
        </w:rPr>
        <w:fldChar w:fldCharType="begin"/>
      </w:r>
      <w:r>
        <w:rPr>
          <w:sz w:val="16"/>
          <w:szCs w:val="16"/>
        </w:rPr>
        <w:instrText xml:space="preserve"> HYPERLINK "http://www.sciencedirect.com/science/journal/15700232" \o "Go to Journal of Chromatography B on ScienceDirect" </w:instrText>
      </w:r>
      <w:r>
        <w:rPr>
          <w:sz w:val="16"/>
          <w:szCs w:val="16"/>
        </w:rPr>
        <w:fldChar w:fldCharType="separate"/>
      </w:r>
      <w:r>
        <w:rPr>
          <w:rFonts w:ascii="Arial" w:hAnsi="Arial" w:cs="Arial"/>
          <w:i/>
          <w:sz w:val="20"/>
          <w:szCs w:val="20"/>
        </w:rPr>
        <w:t>Journal of Chromatography B</w:t>
      </w:r>
      <w:r>
        <w:rPr>
          <w:rFonts w:ascii="Arial" w:hAnsi="Arial" w:cs="Arial"/>
          <w:i/>
          <w:sz w:val="20"/>
          <w:szCs w:val="20"/>
        </w:rPr>
        <w:fldChar w:fldCharType="end"/>
      </w:r>
      <w:r>
        <w:rPr>
          <w:rFonts w:ascii="Arial" w:hAnsi="Arial" w:cs="Arial"/>
          <w:i/>
          <w:sz w:val="20"/>
          <w:szCs w:val="20"/>
        </w:rPr>
        <w:t xml:space="preserve"> </w:t>
      </w:r>
      <w:r>
        <w:rPr>
          <w:rFonts w:ascii="Arial" w:hAnsi="Arial" w:cs="Arial"/>
          <w:sz w:val="20"/>
          <w:szCs w:val="20"/>
        </w:rPr>
        <w:t>2017, 1063, 163–173.</w:t>
      </w:r>
    </w:p>
    <w:p w14:paraId="0A07B7AC">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Brown, J. M.:Palladium-catalysed directed C–H activation by anilides and ureas; water participation in a  general base mechanism. </w:t>
      </w:r>
      <w:r>
        <w:rPr>
          <w:rFonts w:ascii="Arial" w:hAnsi="Arial" w:cs="Arial"/>
          <w:i/>
          <w:sz w:val="20"/>
          <w:szCs w:val="20"/>
        </w:rPr>
        <w:t>Org. Biomol. Chem.</w:t>
      </w:r>
      <w:r>
        <w:rPr>
          <w:rFonts w:ascii="Arial" w:hAnsi="Arial" w:cs="Arial"/>
          <w:sz w:val="20"/>
          <w:szCs w:val="20"/>
        </w:rPr>
        <w:t xml:space="preserve"> 2016, 14, 5251-5257.</w:t>
      </w:r>
    </w:p>
    <w:p w14:paraId="651DF9C1">
      <w:pPr>
        <w:numPr>
          <w:ilvl w:val="0"/>
          <w:numId w:val="2"/>
        </w:numPr>
        <w:ind w:left="360"/>
        <w:jc w:val="both"/>
        <w:textAlignment w:val="baseline"/>
        <w:rPr>
          <w:rFonts w:ascii="Arial" w:hAnsi="Arial" w:cs="Arial"/>
          <w:b/>
          <w:bCs/>
          <w:color w:val="FF0000"/>
          <w:sz w:val="20"/>
          <w:szCs w:val="20"/>
        </w:rPr>
      </w:pPr>
      <w:r>
        <w:rPr>
          <w:rFonts w:ascii="Arial" w:hAnsi="Arial" w:cs="Arial"/>
          <w:b/>
          <w:sz w:val="20"/>
          <w:szCs w:val="20"/>
        </w:rPr>
        <w:t>Rauf, W.</w:t>
      </w:r>
      <w:r>
        <w:rPr>
          <w:rFonts w:ascii="Arial" w:hAnsi="Arial" w:cs="Arial"/>
          <w:sz w:val="20"/>
          <w:szCs w:val="20"/>
        </w:rPr>
        <w:t xml:space="preserve">; Brown, J. M.: Reactive intermediates in catalytic alkenylation; pathways for Mizoroki-Heck, oxidative Heck and Fujiwara-Moritani reactions. </w:t>
      </w:r>
      <w:r>
        <w:rPr>
          <w:rFonts w:ascii="Arial" w:hAnsi="Arial" w:cs="Arial"/>
          <w:i/>
          <w:sz w:val="20"/>
          <w:szCs w:val="20"/>
        </w:rPr>
        <w:t>Chem. Comm.</w:t>
      </w:r>
      <w:r>
        <w:rPr>
          <w:rFonts w:ascii="Arial" w:hAnsi="Arial" w:cs="Arial"/>
          <w:sz w:val="20"/>
          <w:szCs w:val="20"/>
        </w:rPr>
        <w:t xml:space="preserve"> 2013, </w:t>
      </w:r>
      <w:r>
        <w:rPr>
          <w:rFonts w:ascii="Arial" w:hAnsi="Arial" w:cs="Arial"/>
          <w:i/>
          <w:sz w:val="20"/>
          <w:szCs w:val="20"/>
        </w:rPr>
        <w:t>49</w:t>
      </w:r>
      <w:r>
        <w:rPr>
          <w:rFonts w:ascii="Arial" w:hAnsi="Arial" w:cs="Arial"/>
          <w:sz w:val="20"/>
          <w:szCs w:val="20"/>
        </w:rPr>
        <w:t xml:space="preserve">, 8430-8440. </w:t>
      </w:r>
      <w:r>
        <w:rPr>
          <w:rFonts w:ascii="Arial" w:hAnsi="Arial" w:cs="Arial"/>
          <w:b/>
          <w:bCs/>
          <w:sz w:val="20"/>
          <w:szCs w:val="20"/>
        </w:rPr>
        <w:t xml:space="preserve">(Feature Article) </w:t>
      </w:r>
    </w:p>
    <w:p w14:paraId="4A034AC3">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Thompson, A. L.; Brown, J. M.: Anilide activation of adjacent C-H bonds in the palladium-catalysed Fujiwara-Moritani reaction. </w:t>
      </w:r>
      <w:r>
        <w:rPr>
          <w:rFonts w:ascii="Arial" w:hAnsi="Arial" w:cs="Arial"/>
          <w:i/>
          <w:sz w:val="20"/>
          <w:szCs w:val="20"/>
        </w:rPr>
        <w:t>Dalton Trans.</w:t>
      </w:r>
      <w:r>
        <w:rPr>
          <w:rFonts w:ascii="Arial" w:hAnsi="Arial" w:cs="Arial"/>
          <w:sz w:val="20"/>
          <w:szCs w:val="20"/>
        </w:rPr>
        <w:t xml:space="preserve"> 2010, </w:t>
      </w:r>
      <w:r>
        <w:rPr>
          <w:rFonts w:ascii="Arial" w:hAnsi="Arial" w:cs="Arial"/>
          <w:i/>
          <w:sz w:val="20"/>
          <w:szCs w:val="20"/>
        </w:rPr>
        <w:t>39</w:t>
      </w:r>
      <w:r>
        <w:rPr>
          <w:rFonts w:ascii="Arial" w:hAnsi="Arial" w:cs="Arial"/>
          <w:sz w:val="20"/>
          <w:szCs w:val="20"/>
        </w:rPr>
        <w:t>, 10414-10421.</w:t>
      </w:r>
    </w:p>
    <w:p w14:paraId="7B57F905">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Hazari, A.; Gouverneur, V.; Brown, J. M.: Catalytic activation of hydrogen, silicon, and fluorine by transition-metal complexes. </w:t>
      </w:r>
      <w:r>
        <w:rPr>
          <w:rFonts w:ascii="Arial" w:hAnsi="Arial" w:cs="Arial"/>
          <w:i/>
          <w:sz w:val="20"/>
          <w:szCs w:val="20"/>
        </w:rPr>
        <w:t>Pure and Applied Chemistry</w:t>
      </w:r>
      <w:r>
        <w:rPr>
          <w:rFonts w:ascii="Arial" w:hAnsi="Arial" w:cs="Arial"/>
          <w:sz w:val="20"/>
          <w:szCs w:val="20"/>
        </w:rPr>
        <w:t xml:space="preserve"> 2010, </w:t>
      </w:r>
      <w:r>
        <w:rPr>
          <w:rFonts w:ascii="Arial" w:hAnsi="Arial" w:cs="Arial"/>
          <w:i/>
          <w:sz w:val="20"/>
          <w:szCs w:val="20"/>
        </w:rPr>
        <w:t>82</w:t>
      </w:r>
      <w:r>
        <w:rPr>
          <w:rFonts w:ascii="Arial" w:hAnsi="Arial" w:cs="Arial"/>
          <w:sz w:val="20"/>
          <w:szCs w:val="20"/>
        </w:rPr>
        <w:t>, 1415-1428.</w:t>
      </w:r>
    </w:p>
    <w:p w14:paraId="78F94161">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Brown, J. M.: Catalytic Amide-Directed Palladadesilylation-Alkenylation. </w:t>
      </w:r>
      <w:r>
        <w:rPr>
          <w:rFonts w:ascii="Arial" w:hAnsi="Arial" w:cs="Arial"/>
          <w:i/>
          <w:sz w:val="20"/>
          <w:szCs w:val="20"/>
        </w:rPr>
        <w:t>Synlett</w:t>
      </w:r>
      <w:r>
        <w:rPr>
          <w:rFonts w:ascii="Arial" w:hAnsi="Arial" w:cs="Arial"/>
          <w:sz w:val="20"/>
          <w:szCs w:val="20"/>
        </w:rPr>
        <w:t xml:space="preserve"> 2009, 3103-3106.</w:t>
      </w:r>
    </w:p>
    <w:p w14:paraId="0D4E1D27">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Thompson, A. L.; Brown, J. M.: Comparative catalytic C-H vs. C-Si activation of arenes with Pd complexes directed by urea or amide groups. </w:t>
      </w:r>
      <w:r>
        <w:rPr>
          <w:rFonts w:ascii="Arial" w:hAnsi="Arial" w:cs="Arial"/>
          <w:i/>
          <w:sz w:val="20"/>
          <w:szCs w:val="20"/>
        </w:rPr>
        <w:t>Chem. Comm.</w:t>
      </w:r>
      <w:r>
        <w:rPr>
          <w:rFonts w:ascii="Arial" w:hAnsi="Arial" w:cs="Arial"/>
          <w:sz w:val="20"/>
          <w:szCs w:val="20"/>
        </w:rPr>
        <w:t xml:space="preserve"> 2009, 3874-3876. </w:t>
      </w:r>
      <w:r>
        <w:rPr>
          <w:rFonts w:ascii="Arial" w:hAnsi="Arial" w:cs="Arial"/>
          <w:b/>
          <w:bCs/>
          <w:sz w:val="20"/>
          <w:szCs w:val="20"/>
        </w:rPr>
        <w:t>(Hot Article)</w:t>
      </w:r>
    </w:p>
    <w:p w14:paraId="08C11ED6">
      <w:pPr>
        <w:numPr>
          <w:ilvl w:val="0"/>
          <w:numId w:val="2"/>
        </w:numPr>
        <w:ind w:left="360"/>
        <w:jc w:val="both"/>
        <w:textAlignment w:val="baseline"/>
        <w:rPr>
          <w:rFonts w:ascii="Arial" w:hAnsi="Arial" w:cs="Arial"/>
          <w:sz w:val="20"/>
          <w:szCs w:val="20"/>
        </w:rPr>
      </w:pPr>
      <w:r>
        <w:rPr>
          <w:rFonts w:ascii="Arial" w:hAnsi="Arial" w:cs="Arial"/>
          <w:b/>
          <w:sz w:val="20"/>
          <w:szCs w:val="20"/>
        </w:rPr>
        <w:t>Rauf, W.</w:t>
      </w:r>
      <w:r>
        <w:rPr>
          <w:rFonts w:ascii="Arial" w:hAnsi="Arial" w:cs="Arial"/>
          <w:sz w:val="20"/>
          <w:szCs w:val="20"/>
        </w:rPr>
        <w:t xml:space="preserve">; Brown, J. M. Catalytic amide-mediated methyl transfer from silanes to alkenes in Fujiwara-Moritani oxidative coupling. </w:t>
      </w:r>
      <w:r>
        <w:rPr>
          <w:rFonts w:ascii="Arial" w:hAnsi="Arial" w:cs="Arial"/>
          <w:i/>
          <w:sz w:val="20"/>
          <w:szCs w:val="20"/>
        </w:rPr>
        <w:t>Angew. Chem., Int.l Ed.</w:t>
      </w:r>
      <w:r>
        <w:rPr>
          <w:rFonts w:ascii="Arial" w:hAnsi="Arial" w:cs="Arial"/>
          <w:sz w:val="20"/>
          <w:szCs w:val="20"/>
        </w:rPr>
        <w:t xml:space="preserve"> 2008, </w:t>
      </w:r>
      <w:r>
        <w:rPr>
          <w:rFonts w:ascii="Arial" w:hAnsi="Arial" w:cs="Arial"/>
          <w:i/>
          <w:sz w:val="20"/>
          <w:szCs w:val="20"/>
        </w:rPr>
        <w:t>47</w:t>
      </w:r>
      <w:r>
        <w:rPr>
          <w:rFonts w:ascii="Arial" w:hAnsi="Arial" w:cs="Arial"/>
          <w:sz w:val="20"/>
          <w:szCs w:val="20"/>
        </w:rPr>
        <w:t>, 4228-4230.</w:t>
      </w:r>
    </w:p>
    <w:p w14:paraId="26FB96A0">
      <w:pPr>
        <w:numPr>
          <w:ilvl w:val="0"/>
          <w:numId w:val="0"/>
        </w:numPr>
        <w:ind w:leftChars="0"/>
        <w:jc w:val="both"/>
        <w:textAlignment w:val="baseline"/>
        <w:rPr>
          <w:rFonts w:ascii="Arial" w:hAnsi="Arial" w:cs="Arial"/>
          <w:sz w:val="20"/>
          <w:szCs w:val="20"/>
        </w:rPr>
      </w:pPr>
    </w:p>
    <w:p w14:paraId="794985DB">
      <w:pPr>
        <w:pStyle w:val="2"/>
        <w:contextualSpacing/>
        <w:rPr>
          <w:rFonts w:ascii="Arial" w:hAnsi="Arial" w:cs="Arial"/>
          <w:bCs/>
          <w:lang w:val="en-GB"/>
        </w:rPr>
      </w:pPr>
      <w:r>
        <w:rPr>
          <w:rFonts w:ascii="Arial" w:hAnsi="Arial" w:cs="Arial"/>
          <w:bCs/>
          <w:lang w:val="en-GB"/>
        </w:rPr>
        <w:t>Research Grants:</w:t>
      </w:r>
    </w:p>
    <w:p w14:paraId="38BA2D17">
      <w:pPr>
        <w:rPr>
          <w:rFonts w:ascii="Arial" w:hAnsi="Arial" w:cs="Arial"/>
          <w:lang w:val="en-GB"/>
        </w:rPr>
      </w:pPr>
    </w:p>
    <w:p w14:paraId="794E7553">
      <w:pPr>
        <w:numPr>
          <w:ilvl w:val="0"/>
          <w:numId w:val="3"/>
        </w:numPr>
        <w:ind w:left="709" w:hanging="391"/>
        <w:jc w:val="both"/>
        <w:rPr>
          <w:rFonts w:hint="default" w:ascii="Arial" w:hAnsi="Arial" w:cs="Arial"/>
          <w:sz w:val="20"/>
          <w:szCs w:val="20"/>
        </w:rPr>
      </w:pPr>
      <w:r>
        <w:rPr>
          <w:rFonts w:hint="default" w:ascii="Arial" w:hAnsi="Arial" w:cs="Arial"/>
          <w:color w:val="000000"/>
          <w:sz w:val="20"/>
          <w:szCs w:val="20"/>
        </w:rPr>
        <w:t xml:space="preserve">Palladium catalyzed C-H activation in </w:t>
      </w:r>
      <w:r>
        <w:rPr>
          <w:rFonts w:hint="default" w:ascii="Arial" w:hAnsi="Arial" w:cs="Arial"/>
          <w:i/>
          <w:color w:val="000000"/>
          <w:sz w:val="20"/>
          <w:szCs w:val="20"/>
        </w:rPr>
        <w:t>tert</w:t>
      </w:r>
      <w:r>
        <w:rPr>
          <w:rFonts w:hint="default" w:ascii="Arial" w:hAnsi="Arial" w:cs="Arial"/>
          <w:color w:val="000000"/>
          <w:sz w:val="20"/>
          <w:szCs w:val="20"/>
        </w:rPr>
        <w:t xml:space="preserve">-amide directed Fujiwara-Mortani reaction. </w:t>
      </w:r>
      <w:r>
        <w:rPr>
          <w:rFonts w:hint="default" w:ascii="Arial" w:hAnsi="Arial" w:cs="Arial"/>
          <w:sz w:val="20"/>
          <w:szCs w:val="20"/>
        </w:rPr>
        <w:t>Funding Agency: Higher Education Commission, Pakistan</w:t>
      </w:r>
      <w:r>
        <w:rPr>
          <w:rFonts w:hint="default" w:ascii="Arial" w:hAnsi="Arial" w:cs="Arial"/>
          <w:sz w:val="20"/>
          <w:szCs w:val="20"/>
          <w:lang w:val="en-US"/>
        </w:rPr>
        <w:t>, (NRPU 3569 as PI)</w:t>
      </w:r>
      <w:r>
        <w:rPr>
          <w:rFonts w:hint="default" w:ascii="Arial" w:hAnsi="Arial" w:cs="Arial"/>
          <w:sz w:val="20"/>
          <w:szCs w:val="20"/>
        </w:rPr>
        <w:t>.</w:t>
      </w:r>
    </w:p>
    <w:p w14:paraId="61E6E51F">
      <w:pPr>
        <w:numPr>
          <w:ilvl w:val="0"/>
          <w:numId w:val="3"/>
        </w:numPr>
        <w:ind w:left="709" w:hanging="391"/>
        <w:jc w:val="both"/>
        <w:rPr>
          <w:rFonts w:hint="default" w:ascii="Arial" w:hAnsi="Arial" w:cs="Arial"/>
          <w:b/>
          <w:sz w:val="20"/>
          <w:szCs w:val="20"/>
          <w:lang w:val="en-US"/>
        </w:rPr>
      </w:pPr>
      <w:r>
        <w:rPr>
          <w:rFonts w:hint="default" w:ascii="Arial" w:hAnsi="Arial" w:cs="Arial"/>
          <w:color w:val="000000"/>
          <w:sz w:val="20"/>
          <w:szCs w:val="20"/>
        </w:rPr>
        <w:t>Palladium catalyzed C-H activation at C-5 positions of 2-aminothiazole ring. Funding Agency:</w:t>
      </w:r>
      <w:r>
        <w:rPr>
          <w:rFonts w:hint="default" w:ascii="Arial" w:hAnsi="Arial" w:cs="Arial"/>
          <w:sz w:val="20"/>
          <w:szCs w:val="20"/>
        </w:rPr>
        <w:t xml:space="preserve"> Higher Education </w:t>
      </w:r>
      <w:r>
        <w:rPr>
          <w:rFonts w:hint="default" w:ascii="Arial" w:hAnsi="Arial" w:cs="Arial"/>
          <w:color w:val="000000"/>
          <w:sz w:val="20"/>
          <w:szCs w:val="20"/>
        </w:rPr>
        <w:t>Commission</w:t>
      </w:r>
      <w:r>
        <w:rPr>
          <w:rFonts w:hint="default" w:ascii="Arial" w:hAnsi="Arial" w:cs="Arial"/>
          <w:sz w:val="20"/>
          <w:szCs w:val="20"/>
        </w:rPr>
        <w:t>, Pakistan</w:t>
      </w:r>
      <w:r>
        <w:rPr>
          <w:rFonts w:hint="default" w:ascii="Arial" w:hAnsi="Arial" w:cs="Arial"/>
          <w:sz w:val="20"/>
          <w:szCs w:val="20"/>
          <w:lang w:val="en-US"/>
        </w:rPr>
        <w:t>, (NRPU 4569 as PI)</w:t>
      </w:r>
      <w:r>
        <w:rPr>
          <w:rFonts w:hint="default" w:ascii="Arial" w:hAnsi="Arial" w:cs="Arial"/>
          <w:sz w:val="20"/>
          <w:szCs w:val="20"/>
        </w:rPr>
        <w:t>.</w:t>
      </w:r>
    </w:p>
    <w:p w14:paraId="16F98A6F">
      <w:pPr>
        <w:numPr>
          <w:ilvl w:val="0"/>
          <w:numId w:val="3"/>
        </w:numPr>
        <w:ind w:left="709" w:hanging="391"/>
        <w:jc w:val="both"/>
        <w:rPr>
          <w:rFonts w:hint="default" w:ascii="Arial" w:hAnsi="Arial" w:cs="Arial"/>
          <w:color w:val="000000"/>
          <w:sz w:val="20"/>
          <w:szCs w:val="20"/>
        </w:rPr>
      </w:pPr>
      <w:r>
        <w:rPr>
          <w:rFonts w:hint="default" w:ascii="Arial" w:hAnsi="Arial" w:cs="Arial"/>
          <w:color w:val="000000"/>
          <w:sz w:val="20"/>
          <w:szCs w:val="20"/>
        </w:rPr>
        <w:t>Development of radiopharmaceuticals involving novel Fluoroquinolone analogs for early diagnosis of the infections caused by resistant pathogens” Funding Agency:</w:t>
      </w:r>
      <w:r>
        <w:rPr>
          <w:rFonts w:hint="default" w:ascii="Arial" w:hAnsi="Arial" w:cs="Arial"/>
          <w:sz w:val="20"/>
          <w:szCs w:val="20"/>
        </w:rPr>
        <w:t xml:space="preserve"> </w:t>
      </w:r>
      <w:r>
        <w:rPr>
          <w:rFonts w:hint="default" w:ascii="Arial" w:hAnsi="Arial" w:cs="Arial"/>
          <w:color w:val="000000"/>
          <w:sz w:val="20"/>
          <w:szCs w:val="20"/>
        </w:rPr>
        <w:t>HRI - NIH</w:t>
      </w:r>
      <w:r>
        <w:rPr>
          <w:rFonts w:hint="default" w:ascii="Arial" w:hAnsi="Arial" w:cs="Arial"/>
          <w:color w:val="000000"/>
          <w:sz w:val="20"/>
          <w:szCs w:val="20"/>
          <w:lang w:val="en-US"/>
        </w:rPr>
        <w:t>, (</w:t>
      </w:r>
      <w:r>
        <w:rPr>
          <w:rFonts w:hint="default" w:ascii="Arial" w:hAnsi="Arial" w:eastAsia="Helvetica" w:cs="Arial"/>
          <w:i w:val="0"/>
          <w:iCs w:val="0"/>
          <w:caps w:val="0"/>
          <w:color w:val="1F1F1F"/>
          <w:spacing w:val="0"/>
          <w:sz w:val="20"/>
          <w:szCs w:val="20"/>
          <w:shd w:val="clear" w:fill="FFFFFF"/>
        </w:rPr>
        <w:t>SG-22/R3-82</w:t>
      </w:r>
      <w:r>
        <w:rPr>
          <w:rFonts w:hint="default" w:ascii="Arial" w:hAnsi="Arial" w:eastAsia="Helvetica" w:cs="Arial"/>
          <w:i w:val="0"/>
          <w:iCs w:val="0"/>
          <w:caps w:val="0"/>
          <w:color w:val="1F1F1F"/>
          <w:spacing w:val="0"/>
          <w:sz w:val="20"/>
          <w:szCs w:val="20"/>
          <w:shd w:val="clear" w:fill="FFFFFF"/>
          <w:lang w:val="en-US"/>
        </w:rPr>
        <w:t xml:space="preserve"> as PI</w:t>
      </w:r>
      <w:r>
        <w:rPr>
          <w:rFonts w:hint="default" w:ascii="Arial" w:hAnsi="Arial" w:cs="Arial"/>
          <w:color w:val="000000"/>
          <w:sz w:val="20"/>
          <w:szCs w:val="20"/>
          <w:lang w:val="en-US"/>
        </w:rPr>
        <w:t>).</w:t>
      </w:r>
    </w:p>
    <w:p w14:paraId="23A8F3B5">
      <w:pPr>
        <w:numPr>
          <w:ilvl w:val="0"/>
          <w:numId w:val="3"/>
        </w:numPr>
        <w:ind w:left="709" w:hanging="425"/>
        <w:jc w:val="both"/>
        <w:rPr>
          <w:rFonts w:hint="default" w:ascii="Arial" w:hAnsi="Arial" w:cs="Arial"/>
          <w:sz w:val="20"/>
          <w:szCs w:val="20"/>
        </w:rPr>
      </w:pPr>
      <w:r>
        <w:rPr>
          <w:rFonts w:hint="default" w:ascii="Arial" w:hAnsi="Arial" w:cs="Arial"/>
          <w:color w:val="000000"/>
          <w:sz w:val="20"/>
          <w:szCs w:val="20"/>
        </w:rPr>
        <w:t xml:space="preserve">Development of Inhibitors Targeting the Viral as well as Host Factors of Severe Acute Respiratory Syndrome Coronavirus 2 (SARS-CoV-2): A way forward to develop a high potency treatment therapy. </w:t>
      </w:r>
      <w:r>
        <w:rPr>
          <w:rFonts w:hint="default" w:ascii="Arial" w:hAnsi="Arial" w:cs="Arial"/>
          <w:sz w:val="20"/>
          <w:szCs w:val="20"/>
        </w:rPr>
        <w:t>Funding Agency: Pakistan Science Foundation</w:t>
      </w:r>
      <w:r>
        <w:rPr>
          <w:rFonts w:hint="default" w:ascii="Arial" w:hAnsi="Arial" w:cs="Arial"/>
          <w:sz w:val="20"/>
          <w:szCs w:val="20"/>
          <w:lang w:val="en-US"/>
        </w:rPr>
        <w:t xml:space="preserve"> (PSF/CRP/COVID-19/P-NIBGE/CONS (103) as Co-PI)</w:t>
      </w:r>
      <w:r>
        <w:rPr>
          <w:rFonts w:hint="default" w:ascii="Arial" w:hAnsi="Arial" w:cs="Arial"/>
          <w:sz w:val="20"/>
          <w:szCs w:val="20"/>
        </w:rPr>
        <w:t>.</w:t>
      </w:r>
    </w:p>
    <w:p w14:paraId="126B147C">
      <w:pPr>
        <w:numPr>
          <w:ilvl w:val="0"/>
          <w:numId w:val="3"/>
        </w:numPr>
        <w:shd w:val="clear" w:color="auto" w:fill="FFFFFF"/>
        <w:spacing w:before="100" w:beforeAutospacing="1" w:after="100" w:afterAutospacing="1"/>
        <w:ind w:left="709" w:hanging="425"/>
        <w:jc w:val="both"/>
        <w:rPr>
          <w:rFonts w:hint="default" w:ascii="Arial" w:hAnsi="Arial" w:cs="Arial"/>
          <w:sz w:val="20"/>
          <w:szCs w:val="20"/>
        </w:rPr>
      </w:pPr>
      <w:r>
        <w:rPr>
          <w:rFonts w:hint="default" w:ascii="Arial" w:hAnsi="Arial" w:cs="Arial"/>
          <w:sz w:val="20"/>
          <w:szCs w:val="20"/>
        </w:rPr>
        <w:t>Discovery of antiviral agents to inhibit Foot-and-Mouth Disease Virus replication. Funding Agency: Higher Education Commission</w:t>
      </w:r>
      <w:r>
        <w:rPr>
          <w:rFonts w:hint="default" w:ascii="Arial" w:hAnsi="Arial" w:cs="Arial"/>
          <w:sz w:val="20"/>
          <w:szCs w:val="20"/>
          <w:lang w:val="en-US"/>
        </w:rPr>
        <w:t>, (NRPU 15319 as Co-PI)</w:t>
      </w:r>
      <w:r>
        <w:rPr>
          <w:rFonts w:hint="default" w:ascii="Arial" w:hAnsi="Arial" w:cs="Arial"/>
          <w:sz w:val="20"/>
          <w:szCs w:val="20"/>
        </w:rPr>
        <w:t>.</w:t>
      </w:r>
    </w:p>
    <w:p w14:paraId="5F8D12F5">
      <w:pPr>
        <w:numPr>
          <w:ilvl w:val="0"/>
          <w:numId w:val="3"/>
        </w:numPr>
        <w:shd w:val="clear" w:color="auto" w:fill="FFFFFF"/>
        <w:spacing w:before="100" w:beforeAutospacing="1" w:after="100" w:afterAutospacing="1"/>
        <w:ind w:left="709" w:hanging="425"/>
        <w:jc w:val="both"/>
        <w:rPr>
          <w:rFonts w:hint="default" w:ascii="Arial" w:hAnsi="Arial" w:cs="Arial"/>
          <w:sz w:val="20"/>
          <w:szCs w:val="20"/>
        </w:rPr>
      </w:pPr>
      <w:r>
        <w:rPr>
          <w:rFonts w:hint="default" w:ascii="Arial" w:hAnsi="Arial" w:cs="Arial"/>
          <w:sz w:val="20"/>
          <w:szCs w:val="20"/>
        </w:rPr>
        <w:t xml:space="preserve">”Lab Scale FMD Vaccine Production under Clean Environment” </w:t>
      </w:r>
      <w:r>
        <w:rPr>
          <w:rFonts w:hint="default" w:ascii="Arial" w:hAnsi="Arial" w:cs="Arial"/>
          <w:sz w:val="20"/>
          <w:szCs w:val="20"/>
          <w:lang w:val="en-US"/>
        </w:rPr>
        <w:t xml:space="preserve">(PCC-1 project </w:t>
      </w:r>
      <w:r>
        <w:rPr>
          <w:rFonts w:hint="default" w:ascii="Arial" w:hAnsi="Arial" w:cs="Arial"/>
          <w:sz w:val="20"/>
          <w:szCs w:val="20"/>
        </w:rPr>
        <w:t>as Co-PI</w:t>
      </w:r>
      <w:r>
        <w:rPr>
          <w:rFonts w:hint="default" w:ascii="Arial" w:hAnsi="Arial" w:cs="Arial"/>
          <w:sz w:val="20"/>
          <w:szCs w:val="20"/>
          <w:lang w:val="en-US"/>
        </w:rPr>
        <w:t>).</w:t>
      </w:r>
    </w:p>
    <w:p w14:paraId="0F806CDE">
      <w:pPr>
        <w:numPr>
          <w:ilvl w:val="0"/>
          <w:numId w:val="0"/>
        </w:numPr>
        <w:ind w:leftChars="0"/>
        <w:jc w:val="both"/>
        <w:textAlignment w:val="baseline"/>
        <w:rPr>
          <w:rFonts w:ascii="Arial" w:hAnsi="Arial" w:cs="Arial"/>
          <w:sz w:val="20"/>
          <w:szCs w:val="20"/>
        </w:rPr>
      </w:pPr>
    </w:p>
    <w:p w14:paraId="73C8BE06">
      <w:pPr>
        <w:pStyle w:val="11"/>
        <w:rPr>
          <w:rFonts w:ascii="Times New Roman" w:hAnsi="Times New Roman"/>
          <w:b/>
          <w:sz w:val="24"/>
        </w:rPr>
      </w:pPr>
      <w:r>
        <w:rPr>
          <w:rFonts w:ascii="Times New Roman" w:hAnsi="Times New Roman"/>
          <w:b/>
          <w:sz w:val="24"/>
        </w:rPr>
        <w:t>Conferences:</w:t>
      </w:r>
    </w:p>
    <w:p w14:paraId="5A9D2679">
      <w:pPr>
        <w:numPr>
          <w:ilvl w:val="0"/>
          <w:numId w:val="4"/>
        </w:numPr>
        <w:spacing w:before="20"/>
        <w:ind w:left="522" w:right="-86"/>
        <w:rPr>
          <w:rFonts w:ascii="Arial Narrow" w:hAnsi="Arial Narrow" w:cs="Arial"/>
          <w:sz w:val="22"/>
          <w:szCs w:val="22"/>
        </w:rPr>
      </w:pPr>
      <w:r>
        <w:rPr>
          <w:rFonts w:ascii="Arial Narrow" w:hAnsi="Arial Narrow" w:cs="Arial"/>
          <w:sz w:val="22"/>
          <w:szCs w:val="22"/>
        </w:rPr>
        <w:t>Attended four Annual Organic Synthesis One-day Conferences from 2005-2008 in Bristol, UK.</w:t>
      </w:r>
    </w:p>
    <w:p w14:paraId="59D9D688">
      <w:pPr>
        <w:numPr>
          <w:ilvl w:val="0"/>
          <w:numId w:val="4"/>
        </w:numPr>
        <w:tabs>
          <w:tab w:val="left" w:pos="522"/>
        </w:tabs>
        <w:spacing w:before="20"/>
        <w:ind w:left="522" w:right="-86"/>
        <w:rPr>
          <w:rFonts w:ascii="Arial Narrow" w:hAnsi="Arial Narrow" w:cs="Arial"/>
          <w:sz w:val="22"/>
          <w:szCs w:val="22"/>
        </w:rPr>
      </w:pPr>
      <w:r>
        <w:rPr>
          <w:rFonts w:ascii="Arial Narrow" w:hAnsi="Arial Narrow" w:cs="Arial"/>
          <w:sz w:val="22"/>
          <w:szCs w:val="22"/>
        </w:rPr>
        <w:t>Presented in XXII International Conference on Organometallic Chemistry held in Zaragoza, Spain from 23</w:t>
      </w:r>
      <w:r>
        <w:rPr>
          <w:rFonts w:ascii="Arial Narrow" w:hAnsi="Arial Narrow" w:cs="Arial"/>
          <w:sz w:val="22"/>
          <w:szCs w:val="22"/>
          <w:vertAlign w:val="superscript"/>
        </w:rPr>
        <w:t>rd</w:t>
      </w:r>
      <w:r>
        <w:rPr>
          <w:rFonts w:ascii="Arial Narrow" w:hAnsi="Arial Narrow" w:cs="Arial"/>
          <w:sz w:val="22"/>
          <w:szCs w:val="22"/>
        </w:rPr>
        <w:t xml:space="preserve"> to 28</w:t>
      </w:r>
      <w:r>
        <w:rPr>
          <w:rFonts w:ascii="Arial Narrow" w:hAnsi="Arial Narrow" w:cs="Arial"/>
          <w:sz w:val="22"/>
          <w:szCs w:val="22"/>
          <w:vertAlign w:val="superscript"/>
        </w:rPr>
        <w:t>th</w:t>
      </w:r>
      <w:r>
        <w:rPr>
          <w:rFonts w:ascii="Arial Narrow" w:hAnsi="Arial Narrow" w:cs="Arial"/>
          <w:sz w:val="22"/>
          <w:szCs w:val="22"/>
        </w:rPr>
        <w:t xml:space="preserve"> July, 2006.</w:t>
      </w:r>
    </w:p>
    <w:p w14:paraId="150812CC">
      <w:pPr>
        <w:numPr>
          <w:ilvl w:val="0"/>
          <w:numId w:val="4"/>
        </w:numPr>
        <w:tabs>
          <w:tab w:val="left" w:pos="522"/>
        </w:tabs>
        <w:spacing w:before="20"/>
        <w:ind w:left="522" w:right="-86"/>
        <w:rPr>
          <w:rFonts w:ascii="Arial Narrow" w:hAnsi="Arial Narrow" w:cs="Arial"/>
          <w:sz w:val="22"/>
          <w:szCs w:val="22"/>
        </w:rPr>
      </w:pPr>
      <w:r>
        <w:rPr>
          <w:rFonts w:ascii="Arial Narrow" w:hAnsi="Arial Narrow" w:cs="Arial"/>
          <w:sz w:val="22"/>
          <w:szCs w:val="22"/>
        </w:rPr>
        <w:t xml:space="preserve">Presented in Physical Organic Chemists Residential Meeting Organized by </w:t>
      </w:r>
      <w:r>
        <w:rPr>
          <w:rStyle w:val="15"/>
          <w:rFonts w:ascii="Arial Narrow" w:hAnsi="Arial Narrow" w:cs="Arial"/>
          <w:color w:val="222222"/>
          <w:sz w:val="22"/>
          <w:szCs w:val="22"/>
        </w:rPr>
        <w:t>the RSC Organic Reaction Mechanisms Group</w:t>
      </w:r>
      <w:r>
        <w:rPr>
          <w:rStyle w:val="15"/>
          <w:rFonts w:ascii="Arial Narrow" w:hAnsi="Arial Narrow" w:cs="Arial"/>
          <w:sz w:val="22"/>
          <w:szCs w:val="22"/>
        </w:rPr>
        <w:t xml:space="preserve"> </w:t>
      </w:r>
      <w:r>
        <w:rPr>
          <w:rFonts w:ascii="Arial Narrow" w:hAnsi="Arial Narrow" w:cs="Arial"/>
          <w:sz w:val="22"/>
          <w:szCs w:val="22"/>
        </w:rPr>
        <w:t>at Castleton, Peak District, UK from 23</w:t>
      </w:r>
      <w:r>
        <w:rPr>
          <w:rFonts w:ascii="Arial Narrow" w:hAnsi="Arial Narrow" w:cs="Arial"/>
          <w:sz w:val="22"/>
          <w:szCs w:val="22"/>
          <w:vertAlign w:val="superscript"/>
        </w:rPr>
        <w:t>rd</w:t>
      </w:r>
      <w:r>
        <w:rPr>
          <w:rFonts w:ascii="Arial Narrow" w:hAnsi="Arial Narrow" w:cs="Arial"/>
          <w:sz w:val="22"/>
          <w:szCs w:val="22"/>
        </w:rPr>
        <w:t xml:space="preserve"> to 24</w:t>
      </w:r>
      <w:r>
        <w:rPr>
          <w:rFonts w:ascii="Arial Narrow" w:hAnsi="Arial Narrow" w:cs="Arial"/>
          <w:sz w:val="22"/>
          <w:szCs w:val="22"/>
          <w:vertAlign w:val="superscript"/>
        </w:rPr>
        <w:t>th</w:t>
      </w:r>
      <w:r>
        <w:rPr>
          <w:rFonts w:ascii="Arial Narrow" w:hAnsi="Arial Narrow" w:cs="Arial"/>
          <w:sz w:val="22"/>
          <w:szCs w:val="22"/>
        </w:rPr>
        <w:t xml:space="preserve"> July, 2007.</w:t>
      </w:r>
    </w:p>
    <w:p w14:paraId="71C5EB75">
      <w:pPr>
        <w:spacing w:after="120"/>
        <w:ind w:right="-86"/>
        <w:rPr>
          <w:rFonts w:ascii="Arial Narrow" w:hAnsi="Arial Narrow" w:cs="Arial"/>
          <w:sz w:val="22"/>
          <w:szCs w:val="22"/>
        </w:rPr>
      </w:pPr>
    </w:p>
    <w:p w14:paraId="2CE20DB5"/>
    <w:p w14:paraId="67494B29">
      <w:pPr>
        <w:pStyle w:val="2"/>
        <w:contextualSpacing/>
        <w:rPr>
          <w:rFonts w:asciiTheme="minorBidi" w:hAnsiTheme="minorBidi" w:cstheme="minorBidi"/>
          <w:bCs/>
          <w:lang w:val="en-GB"/>
        </w:rPr>
      </w:pPr>
      <w:r>
        <w:rPr>
          <w:rFonts w:asciiTheme="minorBidi" w:hAnsiTheme="minorBidi" w:cstheme="minorBidi"/>
          <w:bCs/>
          <w:lang w:val="en-GB"/>
        </w:rPr>
        <w:t>Training and Courses</w:t>
      </w:r>
    </w:p>
    <w:p w14:paraId="159D8469">
      <w:pPr>
        <w:rPr>
          <w:lang w:val="en-GB"/>
        </w:rPr>
      </w:pPr>
      <w:r>
        <w:rPr>
          <w:rFonts w:ascii="Arial" w:hAnsi="Arial" w:cs="Arial"/>
          <w:bCs/>
          <w:sz w:val="22"/>
          <w:szCs w:val="22"/>
          <w:lang w:val="en-US"/>
        </w:rPr>
        <w:t>------------------------------------------------------------------------------------------------------------------------</w:t>
      </w:r>
    </w:p>
    <w:tbl>
      <w:tblPr>
        <w:tblStyle w:val="5"/>
        <w:tblpPr w:leftFromText="180" w:rightFromText="180" w:vertAnchor="text" w:horzAnchor="margin" w:tblpX="322" w:tblpY="68"/>
        <w:tblW w:w="9639" w:type="dxa"/>
        <w:tblInd w:w="0" w:type="dxa"/>
        <w:tblLayout w:type="fixed"/>
        <w:tblCellMar>
          <w:top w:w="0" w:type="dxa"/>
          <w:left w:w="108" w:type="dxa"/>
          <w:bottom w:w="0" w:type="dxa"/>
          <w:right w:w="108" w:type="dxa"/>
        </w:tblCellMar>
      </w:tblPr>
      <w:tblGrid>
        <w:gridCol w:w="2157"/>
        <w:gridCol w:w="7482"/>
      </w:tblGrid>
      <w:tr w14:paraId="04C9B6E2">
        <w:tblPrEx>
          <w:tblCellMar>
            <w:top w:w="0" w:type="dxa"/>
            <w:left w:w="108" w:type="dxa"/>
            <w:bottom w:w="0" w:type="dxa"/>
            <w:right w:w="108" w:type="dxa"/>
          </w:tblCellMar>
        </w:tblPrEx>
        <w:trPr>
          <w:trHeight w:val="709" w:hRule="atLeast"/>
        </w:trPr>
        <w:tc>
          <w:tcPr>
            <w:tcW w:w="2157" w:type="dxa"/>
          </w:tcPr>
          <w:p w14:paraId="76AD6744">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Jan. 2024</w:t>
            </w:r>
          </w:p>
          <w:p w14:paraId="1DCAC6E4">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1376858B">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Dec. 2022</w:t>
            </w:r>
          </w:p>
          <w:p w14:paraId="40D86E04">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58812C07">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Mar. 2019</w:t>
            </w:r>
          </w:p>
          <w:p w14:paraId="5899A009">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7C1C10D2">
            <w:pPr>
              <w:pStyle w:val="13"/>
              <w:keepNext w:val="0"/>
              <w:keepLines w:val="0"/>
              <w:pageBreakBefore w:val="0"/>
              <w:widowControl/>
              <w:kinsoku/>
              <w:wordWrap/>
              <w:overflowPunct/>
              <w:topLinePunct w:val="0"/>
              <w:autoSpaceDE w:val="0"/>
              <w:autoSpaceDN w:val="0"/>
              <w:bidi w:val="0"/>
              <w:adjustRightInd w:val="0"/>
              <w:snapToGrid/>
              <w:spacing w:after="120"/>
              <w:contextualSpacing/>
              <w:textAlignment w:val="auto"/>
              <w:rPr>
                <w:rFonts w:ascii="Arial Narrow" w:hAnsi="Arial Narrow"/>
                <w:sz w:val="22"/>
                <w:szCs w:val="22"/>
              </w:rPr>
            </w:pPr>
            <w:r>
              <w:rPr>
                <w:rFonts w:ascii="Arial Narrow" w:hAnsi="Arial Narrow"/>
                <w:sz w:val="22"/>
                <w:szCs w:val="22"/>
              </w:rPr>
              <w:t>Nov. 2016</w:t>
            </w:r>
          </w:p>
          <w:p w14:paraId="6DE1D2FF">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592C02A5">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r>
              <w:rPr>
                <w:rFonts w:ascii="Arial Narrow" w:hAnsi="Arial Narrow"/>
                <w:sz w:val="22"/>
                <w:szCs w:val="22"/>
              </w:rPr>
              <w:t>Aug.2016</w:t>
            </w:r>
          </w:p>
          <w:p w14:paraId="3F445D50">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Apr. 2015</w:t>
            </w:r>
          </w:p>
          <w:p w14:paraId="459A99AF">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31B8EDFA">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Sep. 2014</w:t>
            </w:r>
          </w:p>
          <w:p w14:paraId="64654297">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0EB65908">
            <w:pPr>
              <w:pStyle w:val="13"/>
              <w:keepNext w:val="0"/>
              <w:keepLines w:val="0"/>
              <w:pageBreakBefore w:val="0"/>
              <w:widowControl/>
              <w:kinsoku/>
              <w:wordWrap/>
              <w:overflowPunct/>
              <w:topLinePunct w:val="0"/>
              <w:autoSpaceDE w:val="0"/>
              <w:autoSpaceDN w:val="0"/>
              <w:bidi w:val="0"/>
              <w:adjustRightInd w:val="0"/>
              <w:snapToGrid/>
              <w:spacing w:after="0"/>
              <w:textAlignment w:val="auto"/>
              <w:rPr>
                <w:rFonts w:ascii="Arial Narrow" w:hAnsi="Arial Narrow"/>
                <w:sz w:val="22"/>
                <w:szCs w:val="22"/>
              </w:rPr>
            </w:pPr>
            <w:r>
              <w:rPr>
                <w:rFonts w:ascii="Arial Narrow" w:hAnsi="Arial Narrow"/>
                <w:sz w:val="22"/>
                <w:szCs w:val="22"/>
              </w:rPr>
              <w:t>Aug. 2014</w:t>
            </w:r>
          </w:p>
          <w:p w14:paraId="0A4F38EF">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p>
          <w:p w14:paraId="7594B4AD">
            <w:pPr>
              <w:pStyle w:val="13"/>
              <w:keepNext w:val="0"/>
              <w:keepLines w:val="0"/>
              <w:pageBreakBefore w:val="0"/>
              <w:widowControl/>
              <w:kinsoku/>
              <w:wordWrap/>
              <w:overflowPunct/>
              <w:topLinePunct w:val="0"/>
              <w:autoSpaceDE w:val="0"/>
              <w:autoSpaceDN w:val="0"/>
              <w:bidi w:val="0"/>
              <w:adjustRightInd w:val="0"/>
              <w:snapToGrid/>
              <w:spacing w:after="120"/>
              <w:textAlignment w:val="auto"/>
              <w:rPr>
                <w:rFonts w:ascii="Arial Narrow" w:hAnsi="Arial Narrow"/>
                <w:sz w:val="22"/>
                <w:szCs w:val="22"/>
              </w:rPr>
            </w:pPr>
            <w:r>
              <w:rPr>
                <w:rFonts w:ascii="Arial Narrow" w:hAnsi="Arial Narrow"/>
                <w:sz w:val="22"/>
                <w:szCs w:val="22"/>
              </w:rPr>
              <w:t>Oct. 2013</w:t>
            </w:r>
          </w:p>
        </w:tc>
        <w:tc>
          <w:tcPr>
            <w:tcW w:w="7482" w:type="dxa"/>
          </w:tcPr>
          <w:p w14:paraId="2E0CA255">
            <w:pPr>
              <w:pStyle w:val="13"/>
              <w:keepNext w:val="0"/>
              <w:keepLines w:val="0"/>
              <w:pageBreakBefore w:val="0"/>
              <w:widowControl/>
              <w:kinsoku/>
              <w:wordWrap/>
              <w:overflowPunct/>
              <w:topLinePunct w:val="0"/>
              <w:autoSpaceDE w:val="0"/>
              <w:autoSpaceDN w:val="0"/>
              <w:bidi w:val="0"/>
              <w:adjustRightInd w:val="0"/>
              <w:snapToGrid/>
              <w:spacing w:after="120"/>
              <w:ind w:left="-14" w:leftChars="-7" w:firstLine="13" w:firstLineChars="6"/>
              <w:jc w:val="both"/>
              <w:textAlignment w:val="auto"/>
              <w:rPr>
                <w:rFonts w:ascii="Arial Narrow" w:hAnsi="Arial Narrow"/>
                <w:sz w:val="22"/>
                <w:szCs w:val="22"/>
              </w:rPr>
            </w:pPr>
            <w:r>
              <w:rPr>
                <w:rFonts w:ascii="Arial Narrow" w:hAnsi="Arial Narrow"/>
                <w:sz w:val="22"/>
                <w:szCs w:val="22"/>
              </w:rPr>
              <w:t>BTWC Familiarization and Basic Bio-Safety Course for First Responders at CBD Dte DESTO.</w:t>
            </w:r>
          </w:p>
          <w:p w14:paraId="16DB67F8">
            <w:pPr>
              <w:pStyle w:val="13"/>
              <w:keepNext w:val="0"/>
              <w:keepLines w:val="0"/>
              <w:pageBreakBefore w:val="0"/>
              <w:widowControl/>
              <w:kinsoku/>
              <w:wordWrap/>
              <w:overflowPunct/>
              <w:topLinePunct w:val="0"/>
              <w:autoSpaceDE w:val="0"/>
              <w:autoSpaceDN w:val="0"/>
              <w:bidi w:val="0"/>
              <w:adjustRightInd w:val="0"/>
              <w:snapToGrid/>
              <w:spacing w:after="120"/>
              <w:ind w:left="-14" w:leftChars="-7" w:firstLine="13" w:firstLineChars="6"/>
              <w:jc w:val="both"/>
              <w:textAlignment w:val="auto"/>
              <w:rPr>
                <w:rFonts w:ascii="Arial Narrow" w:hAnsi="Arial Narrow"/>
                <w:sz w:val="22"/>
                <w:szCs w:val="22"/>
              </w:rPr>
            </w:pPr>
            <w:r>
              <w:rPr>
                <w:rFonts w:ascii="Arial Narrow" w:hAnsi="Arial Narrow"/>
                <w:sz w:val="22"/>
                <w:szCs w:val="22"/>
              </w:rPr>
              <w:t>Regional Training Course on ISO/IEC 17025:2017 including Lead Assessor Roles at NIAB, Faisalabad.</w:t>
            </w:r>
          </w:p>
          <w:p w14:paraId="637F2298">
            <w:pPr>
              <w:pStyle w:val="13"/>
              <w:spacing w:after="120"/>
              <w:ind w:left="-14" w:leftChars="-7" w:firstLine="13" w:firstLineChars="6"/>
              <w:jc w:val="both"/>
              <w:rPr>
                <w:rFonts w:ascii="Arial Narrow" w:hAnsi="Arial Narrow"/>
                <w:sz w:val="22"/>
                <w:szCs w:val="22"/>
              </w:rPr>
            </w:pPr>
            <w:r>
              <w:rPr>
                <w:rFonts w:ascii="Arial Narrow" w:hAnsi="Arial Narrow"/>
                <w:sz w:val="22"/>
                <w:szCs w:val="22"/>
              </w:rPr>
              <w:t>National Seminar on Safety and Security Management of Chemicals for Capacity Building at National Level at PINSTECH, Islamabad, Pakistan.</w:t>
            </w:r>
          </w:p>
          <w:p w14:paraId="34A0C9E2">
            <w:pPr>
              <w:pStyle w:val="13"/>
              <w:spacing w:after="120"/>
              <w:ind w:left="-14" w:leftChars="-7" w:firstLine="13" w:firstLineChars="6"/>
              <w:jc w:val="both"/>
              <w:rPr>
                <w:rFonts w:ascii="Arial Narrow" w:hAnsi="Arial Narrow"/>
                <w:sz w:val="22"/>
                <w:szCs w:val="22"/>
              </w:rPr>
            </w:pPr>
            <w:r>
              <w:rPr>
                <w:rFonts w:ascii="Arial Narrow" w:hAnsi="Arial Narrow"/>
                <w:sz w:val="22"/>
                <w:szCs w:val="22"/>
              </w:rPr>
              <w:t xml:space="preserve">National Workshop on </w:t>
            </w:r>
            <w:r>
              <w:rPr>
                <w:rFonts w:ascii="Arial Narrow" w:hAnsi="Arial Narrow" w:cs="Times New Roman"/>
                <w:color w:val="222222"/>
                <w:spacing w:val="-4"/>
                <w:sz w:val="22"/>
                <w:szCs w:val="22"/>
                <w:shd w:val="clear" w:color="auto" w:fill="FFFFFF"/>
              </w:rPr>
              <w:t xml:space="preserve">‘Modeling and Simulation of Materials by Density Functional Theory’ </w:t>
            </w:r>
            <w:r>
              <w:rPr>
                <w:rFonts w:ascii="Arial Narrow" w:hAnsi="Arial Narrow"/>
                <w:sz w:val="22"/>
                <w:szCs w:val="22"/>
              </w:rPr>
              <w:t>at PINSTECH, Islamabad, Pakistan.</w:t>
            </w:r>
          </w:p>
          <w:p w14:paraId="332614D3">
            <w:pPr>
              <w:pStyle w:val="13"/>
              <w:keepNext w:val="0"/>
              <w:keepLines w:val="0"/>
              <w:pageBreakBefore w:val="0"/>
              <w:widowControl/>
              <w:kinsoku/>
              <w:wordWrap/>
              <w:overflowPunct/>
              <w:topLinePunct w:val="0"/>
              <w:autoSpaceDE w:val="0"/>
              <w:autoSpaceDN w:val="0"/>
              <w:bidi w:val="0"/>
              <w:adjustRightInd w:val="0"/>
              <w:snapToGrid/>
              <w:spacing w:after="120"/>
              <w:ind w:left="-14" w:leftChars="-7" w:firstLine="13" w:firstLineChars="6"/>
              <w:jc w:val="both"/>
              <w:textAlignment w:val="auto"/>
              <w:rPr>
                <w:rFonts w:ascii="Arial Narrow" w:hAnsi="Arial Narrow"/>
                <w:sz w:val="22"/>
                <w:szCs w:val="22"/>
              </w:rPr>
            </w:pPr>
            <w:r>
              <w:rPr>
                <w:rFonts w:ascii="Arial Narrow" w:hAnsi="Arial Narrow"/>
                <w:sz w:val="22"/>
                <w:szCs w:val="22"/>
              </w:rPr>
              <w:t xml:space="preserve">QS04-4Q Management Training Programme with distinction at NIBGE, Faisalabad. </w:t>
            </w:r>
          </w:p>
          <w:p w14:paraId="3E478042">
            <w:pPr>
              <w:pStyle w:val="13"/>
              <w:keepNext w:val="0"/>
              <w:keepLines w:val="0"/>
              <w:pageBreakBefore w:val="0"/>
              <w:widowControl/>
              <w:kinsoku/>
              <w:wordWrap/>
              <w:overflowPunct/>
              <w:topLinePunct w:val="0"/>
              <w:autoSpaceDE w:val="0"/>
              <w:autoSpaceDN w:val="0"/>
              <w:bidi w:val="0"/>
              <w:adjustRightInd w:val="0"/>
              <w:snapToGrid/>
              <w:spacing w:after="120"/>
              <w:ind w:left="-14" w:leftChars="-7" w:firstLine="13" w:firstLineChars="6"/>
              <w:jc w:val="both"/>
              <w:textAlignment w:val="auto"/>
              <w:rPr>
                <w:rFonts w:ascii="Arial Narrow" w:hAnsi="Arial Narrow"/>
                <w:sz w:val="22"/>
                <w:szCs w:val="22"/>
              </w:rPr>
            </w:pPr>
            <w:r>
              <w:rPr>
                <w:rFonts w:ascii="Arial Narrow" w:hAnsi="Arial Narrow"/>
                <w:sz w:val="22"/>
                <w:szCs w:val="22"/>
              </w:rPr>
              <w:t>QS03-4Q Management Training Programme with distinction at AEMC, Lahore, Pakistan; with distinction.</w:t>
            </w:r>
          </w:p>
          <w:p w14:paraId="214EDB92">
            <w:pPr>
              <w:pStyle w:val="13"/>
              <w:spacing w:after="120"/>
              <w:ind w:left="-14" w:leftChars="-7" w:firstLine="13" w:firstLineChars="6"/>
              <w:jc w:val="both"/>
              <w:rPr>
                <w:rFonts w:ascii="Arial Narrow" w:hAnsi="Arial Narrow"/>
                <w:sz w:val="22"/>
                <w:szCs w:val="22"/>
              </w:rPr>
            </w:pPr>
            <w:r>
              <w:rPr>
                <w:rFonts w:ascii="Arial Narrow" w:hAnsi="Arial Narrow"/>
                <w:sz w:val="22"/>
                <w:szCs w:val="22"/>
              </w:rPr>
              <w:t>Lead Auditor Workshop – Food Safety Management System ISO 22000 at PIEAS, Islamabad, Pakistan.</w:t>
            </w:r>
          </w:p>
          <w:p w14:paraId="55050832">
            <w:pPr>
              <w:pStyle w:val="13"/>
              <w:spacing w:after="120"/>
              <w:ind w:left="-14" w:leftChars="-7" w:firstLine="13" w:firstLineChars="6"/>
              <w:jc w:val="both"/>
              <w:rPr>
                <w:rFonts w:ascii="Arial Narrow" w:hAnsi="Arial Narrow"/>
                <w:sz w:val="22"/>
                <w:szCs w:val="22"/>
              </w:rPr>
            </w:pPr>
            <w:r>
              <w:rPr>
                <w:rFonts w:ascii="Arial Narrow" w:hAnsi="Arial Narrow"/>
                <w:sz w:val="22"/>
                <w:szCs w:val="22"/>
              </w:rPr>
              <w:t>QS02-4Q Management Training Programme with distinction at NIAB, Faisalabad, Pakistan; with distinction.</w:t>
            </w:r>
          </w:p>
          <w:p w14:paraId="64B88AE2">
            <w:pPr>
              <w:pStyle w:val="13"/>
              <w:spacing w:after="120"/>
              <w:ind w:left="-14" w:leftChars="-7" w:firstLine="13" w:firstLineChars="6"/>
              <w:jc w:val="both"/>
              <w:rPr>
                <w:rFonts w:ascii="Arial Narrow" w:hAnsi="Arial Narrow"/>
                <w:sz w:val="22"/>
                <w:szCs w:val="22"/>
              </w:rPr>
            </w:pPr>
            <w:r>
              <w:rPr>
                <w:rFonts w:ascii="Arial Narrow" w:hAnsi="Arial Narrow"/>
                <w:sz w:val="22"/>
                <w:szCs w:val="22"/>
              </w:rPr>
              <w:t>National Workshop on Chromatography and Mass Spectrometry at NIBGE, Faisalabad.</w:t>
            </w:r>
          </w:p>
        </w:tc>
      </w:tr>
      <w:tr w14:paraId="4EBB5B37">
        <w:tblPrEx>
          <w:tblCellMar>
            <w:top w:w="0" w:type="dxa"/>
            <w:left w:w="108" w:type="dxa"/>
            <w:bottom w:w="0" w:type="dxa"/>
            <w:right w:w="108" w:type="dxa"/>
          </w:tblCellMar>
        </w:tblPrEx>
        <w:trPr>
          <w:trHeight w:val="760" w:hRule="atLeast"/>
        </w:trPr>
        <w:tc>
          <w:tcPr>
            <w:tcW w:w="2157" w:type="dxa"/>
          </w:tcPr>
          <w:p w14:paraId="1DDC8AB0">
            <w:pPr>
              <w:pStyle w:val="13"/>
              <w:rPr>
                <w:rFonts w:ascii="Arial Narrow" w:hAnsi="Arial Narrow"/>
                <w:sz w:val="22"/>
                <w:szCs w:val="22"/>
              </w:rPr>
            </w:pPr>
            <w:r>
              <w:rPr>
                <w:rFonts w:ascii="Arial Narrow" w:hAnsi="Arial Narrow"/>
                <w:sz w:val="22"/>
                <w:szCs w:val="22"/>
              </w:rPr>
              <w:t>Feb. 2005 – May. 2005</w:t>
            </w:r>
          </w:p>
          <w:p w14:paraId="6D315D9A">
            <w:pPr>
              <w:pStyle w:val="13"/>
              <w:rPr>
                <w:rFonts w:ascii="Arial Narrow" w:hAnsi="Arial Narrow"/>
                <w:sz w:val="22"/>
                <w:szCs w:val="22"/>
              </w:rPr>
            </w:pPr>
          </w:p>
          <w:p w14:paraId="3859AD83">
            <w:pPr>
              <w:pStyle w:val="13"/>
              <w:spacing w:after="120"/>
              <w:ind w:left="-115"/>
              <w:jc w:val="both"/>
              <w:rPr>
                <w:rFonts w:ascii="Arial Narrow" w:hAnsi="Arial Narrow"/>
                <w:b/>
                <w:bCs/>
                <w:color w:val="auto"/>
                <w:sz w:val="22"/>
                <w:szCs w:val="22"/>
              </w:rPr>
            </w:pPr>
          </w:p>
        </w:tc>
        <w:tc>
          <w:tcPr>
            <w:tcW w:w="7482" w:type="dxa"/>
          </w:tcPr>
          <w:p w14:paraId="04A99387">
            <w:pPr>
              <w:pStyle w:val="13"/>
              <w:spacing w:after="120"/>
              <w:ind w:left="-14" w:leftChars="-7" w:firstLine="13" w:firstLineChars="6"/>
              <w:jc w:val="both"/>
              <w:rPr>
                <w:rFonts w:ascii="Arial Narrow" w:hAnsi="Arial Narrow"/>
                <w:sz w:val="22"/>
                <w:szCs w:val="22"/>
              </w:rPr>
            </w:pPr>
            <w:r>
              <w:rPr>
                <w:rFonts w:ascii="Arial Narrow" w:hAnsi="Arial Narrow"/>
                <w:sz w:val="22"/>
                <w:szCs w:val="22"/>
              </w:rPr>
              <w:t>Building a Business course based around Science Enterpreneurship at Oxford Science Enterprise Centre, Saϊd Business School, University of Oxford, United Kingdom.</w:t>
            </w:r>
          </w:p>
        </w:tc>
      </w:tr>
      <w:tr w14:paraId="60CD897F">
        <w:tblPrEx>
          <w:tblCellMar>
            <w:top w:w="0" w:type="dxa"/>
            <w:left w:w="108" w:type="dxa"/>
            <w:bottom w:w="0" w:type="dxa"/>
            <w:right w:w="108" w:type="dxa"/>
          </w:tblCellMar>
        </w:tblPrEx>
        <w:trPr>
          <w:trHeight w:val="229" w:hRule="atLeast"/>
        </w:trPr>
        <w:tc>
          <w:tcPr>
            <w:tcW w:w="2157" w:type="dxa"/>
          </w:tcPr>
          <w:p w14:paraId="797C07F3">
            <w:pPr>
              <w:pStyle w:val="13"/>
              <w:rPr>
                <w:rFonts w:ascii="Arial Narrow" w:hAnsi="Arial Narrow"/>
                <w:sz w:val="22"/>
                <w:szCs w:val="22"/>
              </w:rPr>
            </w:pPr>
            <w:r>
              <w:rPr>
                <w:rFonts w:ascii="Arial Narrow" w:hAnsi="Arial Narrow"/>
                <w:sz w:val="22"/>
                <w:szCs w:val="22"/>
              </w:rPr>
              <w:t>Aug. 2002 – Sep. 2002</w:t>
            </w:r>
          </w:p>
          <w:p w14:paraId="7A5D3588">
            <w:pPr>
              <w:pStyle w:val="13"/>
              <w:spacing w:after="120"/>
              <w:ind w:left="-115"/>
              <w:jc w:val="both"/>
              <w:rPr>
                <w:rFonts w:ascii="Arial Narrow" w:hAnsi="Arial Narrow"/>
                <w:sz w:val="22"/>
                <w:szCs w:val="22"/>
              </w:rPr>
            </w:pPr>
          </w:p>
        </w:tc>
        <w:tc>
          <w:tcPr>
            <w:tcW w:w="7482" w:type="dxa"/>
          </w:tcPr>
          <w:p w14:paraId="3B0B2969">
            <w:pPr>
              <w:pStyle w:val="13"/>
              <w:spacing w:after="120"/>
              <w:ind w:left="-14" w:leftChars="-7" w:firstLine="13" w:firstLineChars="6"/>
              <w:jc w:val="both"/>
              <w:rPr>
                <w:rFonts w:ascii="Arial Narrow" w:hAnsi="Arial Narrow"/>
                <w:sz w:val="22"/>
                <w:szCs w:val="22"/>
              </w:rPr>
            </w:pPr>
            <w:r>
              <w:rPr>
                <w:rFonts w:ascii="Arial Narrow" w:hAnsi="Arial Narrow"/>
                <w:sz w:val="22"/>
                <w:szCs w:val="22"/>
              </w:rPr>
              <w:t>Nuclear Orientation Course from Pakistan Institute of Engineering and Applied Sciences, Islamabad; with distinction among participants.</w:t>
            </w:r>
          </w:p>
        </w:tc>
      </w:tr>
      <w:tr w14:paraId="6C90D8E7">
        <w:tblPrEx>
          <w:tblCellMar>
            <w:top w:w="0" w:type="dxa"/>
            <w:left w:w="108" w:type="dxa"/>
            <w:bottom w:w="0" w:type="dxa"/>
            <w:right w:w="108" w:type="dxa"/>
          </w:tblCellMar>
        </w:tblPrEx>
        <w:trPr>
          <w:trHeight w:val="229" w:hRule="atLeast"/>
        </w:trPr>
        <w:tc>
          <w:tcPr>
            <w:tcW w:w="2157" w:type="dxa"/>
          </w:tcPr>
          <w:p w14:paraId="74E94E80">
            <w:pPr>
              <w:pStyle w:val="13"/>
              <w:rPr>
                <w:rFonts w:ascii="Arial Narrow" w:hAnsi="Arial Narrow"/>
                <w:sz w:val="22"/>
                <w:szCs w:val="22"/>
              </w:rPr>
            </w:pPr>
            <w:r>
              <w:rPr>
                <w:rFonts w:ascii="Arial Narrow" w:hAnsi="Arial Narrow"/>
                <w:sz w:val="22"/>
                <w:szCs w:val="22"/>
              </w:rPr>
              <w:t>Feb. 2001 – Jan. 2002</w:t>
            </w:r>
          </w:p>
          <w:p w14:paraId="1D1A57E5">
            <w:pPr>
              <w:pStyle w:val="13"/>
              <w:spacing w:after="120"/>
              <w:ind w:left="-115"/>
              <w:jc w:val="both"/>
              <w:rPr>
                <w:rFonts w:ascii="Arial Narrow" w:hAnsi="Arial Narrow"/>
                <w:sz w:val="22"/>
                <w:szCs w:val="22"/>
              </w:rPr>
            </w:pPr>
          </w:p>
        </w:tc>
        <w:tc>
          <w:tcPr>
            <w:tcW w:w="7482" w:type="dxa"/>
          </w:tcPr>
          <w:p w14:paraId="1C3F2F36">
            <w:pPr>
              <w:pStyle w:val="13"/>
              <w:spacing w:after="120"/>
              <w:ind w:left="-14" w:leftChars="-7" w:firstLine="13" w:firstLineChars="6"/>
              <w:jc w:val="both"/>
              <w:rPr>
                <w:rFonts w:ascii="Arial Narrow" w:hAnsi="Arial Narrow"/>
                <w:sz w:val="22"/>
                <w:szCs w:val="22"/>
              </w:rPr>
            </w:pPr>
            <w:r>
              <w:rPr>
                <w:rFonts w:ascii="Arial Narrow" w:hAnsi="Arial Narrow"/>
                <w:sz w:val="22"/>
                <w:szCs w:val="22"/>
              </w:rPr>
              <w:t xml:space="preserve">Graduate Engineers Training Programme from Dawood Hercules Chemicals Ltd, Lahore, Pakistan. </w:t>
            </w:r>
          </w:p>
        </w:tc>
      </w:tr>
      <w:tr w14:paraId="2B82657C">
        <w:tblPrEx>
          <w:tblCellMar>
            <w:top w:w="0" w:type="dxa"/>
            <w:left w:w="108" w:type="dxa"/>
            <w:bottom w:w="0" w:type="dxa"/>
            <w:right w:w="108" w:type="dxa"/>
          </w:tblCellMar>
        </w:tblPrEx>
        <w:trPr>
          <w:trHeight w:val="103" w:hRule="atLeast"/>
        </w:trPr>
        <w:tc>
          <w:tcPr>
            <w:tcW w:w="2157" w:type="dxa"/>
          </w:tcPr>
          <w:p w14:paraId="2AE7C971">
            <w:pPr>
              <w:pStyle w:val="13"/>
              <w:rPr>
                <w:rFonts w:ascii="Arial Narrow" w:hAnsi="Arial Narrow"/>
                <w:sz w:val="22"/>
                <w:szCs w:val="22"/>
              </w:rPr>
            </w:pPr>
            <w:r>
              <w:rPr>
                <w:rFonts w:ascii="Arial Narrow" w:hAnsi="Arial Narrow"/>
                <w:sz w:val="22"/>
                <w:szCs w:val="22"/>
              </w:rPr>
              <w:t>Jun. 2000 – Dec. 2000</w:t>
            </w:r>
          </w:p>
        </w:tc>
        <w:tc>
          <w:tcPr>
            <w:tcW w:w="7482" w:type="dxa"/>
          </w:tcPr>
          <w:p w14:paraId="42C17D64">
            <w:pPr>
              <w:pStyle w:val="13"/>
              <w:spacing w:after="120"/>
              <w:ind w:left="-14" w:leftChars="-7" w:firstLine="13" w:firstLineChars="6"/>
              <w:jc w:val="both"/>
              <w:rPr>
                <w:rFonts w:ascii="Arial Narrow" w:hAnsi="Arial Narrow"/>
                <w:sz w:val="22"/>
                <w:szCs w:val="22"/>
              </w:rPr>
            </w:pPr>
            <w:r>
              <w:rPr>
                <w:rFonts w:ascii="Arial Narrow" w:hAnsi="Arial Narrow"/>
                <w:sz w:val="22"/>
                <w:szCs w:val="22"/>
              </w:rPr>
              <w:t>Oracle Database Management Programme (Developer Track), Hamdard University, Faisalabad Campus.</w:t>
            </w:r>
          </w:p>
        </w:tc>
      </w:tr>
    </w:tbl>
    <w:p w14:paraId="5CF296BD">
      <w:pPr>
        <w:pStyle w:val="2"/>
        <w:rPr>
          <w:rFonts w:ascii="Arial" w:hAnsi="Arial" w:cs="Arial"/>
          <w:lang w:val="en-US"/>
        </w:rPr>
      </w:pPr>
    </w:p>
    <w:p w14:paraId="21E3839E"/>
    <w:sectPr>
      <w:pgSz w:w="11906" w:h="16838"/>
      <w:pgMar w:top="1170" w:right="1106" w:bottom="1170" w:left="117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Garamond">
    <w:panose1 w:val="02020404030301010803"/>
    <w:charset w:val="00"/>
    <w:family w:val="roman"/>
    <w:pitch w:val="default"/>
    <w:sig w:usb0="00000287" w:usb1="00000000" w:usb2="00000000" w:usb3="00000000" w:csb0="0000009F" w:csb1="DFD70000"/>
  </w:font>
  <w:font w:name="Cambria Math">
    <w:panose1 w:val="02040503050406030204"/>
    <w:charset w:val="00"/>
    <w:family w:val="roman"/>
    <w:pitch w:val="default"/>
    <w:sig w:usb0="E00006FF" w:usb1="420024FF" w:usb2="02000000" w:usb3="00000000" w:csb0="2000019F" w:csb1="00000000"/>
  </w:font>
  <w:font w:name="Georgia">
    <w:panose1 w:val="02040502050405020303"/>
    <w:charset w:val="00"/>
    <w:family w:val="roman"/>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Corbel">
    <w:panose1 w:val="020B0503020204020204"/>
    <w:charset w:val="00"/>
    <w:family w:val="auto"/>
    <w:pitch w:val="default"/>
    <w:sig w:usb0="A00002EF" w:usb1="4000A44B" w:usb2="00000000" w:usb3="00000000" w:csb0="2000019F" w:csb1="00000000"/>
  </w:font>
  <w:font w:name="Cascadia Mono SemiLight">
    <w:panose1 w:val="020B0609020000020004"/>
    <w:charset w:val="00"/>
    <w:family w:val="auto"/>
    <w:pitch w:val="default"/>
    <w:sig w:usb0="A1002AFF" w:usb1="C200F9FB" w:usb2="00040020" w:usb3="00000000" w:csb0="600001FF" w:csb1="FFFF0000"/>
  </w:font>
  <w:font w:name="Cascadia Code SemiLight">
    <w:panose1 w:val="020B0609020000020004"/>
    <w:charset w:val="00"/>
    <w:family w:val="auto"/>
    <w:pitch w:val="default"/>
    <w:sig w:usb0="A1002AFF" w:usb1="C200F9FB" w:usb2="00040020" w:usb3="00000000" w:csb0="600001FF" w:csb1="FFFF0000"/>
  </w:font>
  <w:font w:name="Candara Light">
    <w:panose1 w:val="020E0502030303020204"/>
    <w:charset w:val="00"/>
    <w:family w:val="auto"/>
    <w:pitch w:val="default"/>
    <w:sig w:usb0="A00002EF" w:usb1="4000A4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E6069"/>
    <w:multiLevelType w:val="multilevel"/>
    <w:tmpl w:val="236E6069"/>
    <w:lvl w:ilvl="0" w:tentative="0">
      <w:start w:val="1"/>
      <w:numFmt w:val="decimal"/>
      <w:lvlText w:val="%1."/>
      <w:lvlJc w:val="left"/>
      <w:pPr>
        <w:ind w:left="1038" w:hanging="360"/>
      </w:pPr>
      <w:rPr>
        <w:b w:val="0"/>
        <w:color w:val="auto"/>
      </w:rPr>
    </w:lvl>
    <w:lvl w:ilvl="1" w:tentative="0">
      <w:start w:val="1"/>
      <w:numFmt w:val="lowerLetter"/>
      <w:lvlText w:val="%2."/>
      <w:lvlJc w:val="left"/>
      <w:pPr>
        <w:ind w:left="1758" w:hanging="360"/>
      </w:pPr>
    </w:lvl>
    <w:lvl w:ilvl="2" w:tentative="0">
      <w:start w:val="1"/>
      <w:numFmt w:val="lowerRoman"/>
      <w:lvlText w:val="%3."/>
      <w:lvlJc w:val="right"/>
      <w:pPr>
        <w:ind w:left="2478" w:hanging="180"/>
      </w:pPr>
    </w:lvl>
    <w:lvl w:ilvl="3" w:tentative="0">
      <w:start w:val="1"/>
      <w:numFmt w:val="decimal"/>
      <w:lvlText w:val="%4."/>
      <w:lvlJc w:val="left"/>
      <w:pPr>
        <w:ind w:left="3198" w:hanging="360"/>
      </w:pPr>
    </w:lvl>
    <w:lvl w:ilvl="4" w:tentative="0">
      <w:start w:val="1"/>
      <w:numFmt w:val="lowerLetter"/>
      <w:lvlText w:val="%5."/>
      <w:lvlJc w:val="left"/>
      <w:pPr>
        <w:ind w:left="3918" w:hanging="360"/>
      </w:pPr>
    </w:lvl>
    <w:lvl w:ilvl="5" w:tentative="0">
      <w:start w:val="1"/>
      <w:numFmt w:val="lowerRoman"/>
      <w:lvlText w:val="%6."/>
      <w:lvlJc w:val="right"/>
      <w:pPr>
        <w:ind w:left="4638" w:hanging="180"/>
      </w:pPr>
    </w:lvl>
    <w:lvl w:ilvl="6" w:tentative="0">
      <w:start w:val="1"/>
      <w:numFmt w:val="decimal"/>
      <w:lvlText w:val="%7."/>
      <w:lvlJc w:val="left"/>
      <w:pPr>
        <w:ind w:left="5358" w:hanging="360"/>
      </w:pPr>
    </w:lvl>
    <w:lvl w:ilvl="7" w:tentative="0">
      <w:start w:val="1"/>
      <w:numFmt w:val="lowerLetter"/>
      <w:lvlText w:val="%8."/>
      <w:lvlJc w:val="left"/>
      <w:pPr>
        <w:ind w:left="6078" w:hanging="360"/>
      </w:pPr>
    </w:lvl>
    <w:lvl w:ilvl="8" w:tentative="0">
      <w:start w:val="1"/>
      <w:numFmt w:val="lowerRoman"/>
      <w:lvlText w:val="%9."/>
      <w:lvlJc w:val="right"/>
      <w:pPr>
        <w:ind w:left="6798" w:hanging="180"/>
      </w:pPr>
    </w:lvl>
  </w:abstractNum>
  <w:abstractNum w:abstractNumId="1">
    <w:nsid w:val="26A136C7"/>
    <w:multiLevelType w:val="multilevel"/>
    <w:tmpl w:val="26A136C7"/>
    <w:lvl w:ilvl="0" w:tentative="0">
      <w:start w:val="1"/>
      <w:numFmt w:val="bullet"/>
      <w:lvlText w:val=""/>
      <w:lvlJc w:val="left"/>
      <w:pPr>
        <w:ind w:left="720" w:hanging="360"/>
      </w:pPr>
      <w:rPr>
        <w:rFonts w:hint="default" w:ascii="Arial" w:hAnsi="Arial" w:cs="Arial"/>
      </w:rPr>
    </w:lvl>
    <w:lvl w:ilvl="1" w:tentative="0">
      <w:start w:val="1"/>
      <w:numFmt w:val="bullet"/>
      <w:lvlText w:val="o"/>
      <w:lvlJc w:val="left"/>
      <w:pPr>
        <w:ind w:left="1440" w:hanging="360"/>
      </w:pPr>
      <w:rPr>
        <w:rFonts w:hint="default" w:ascii="Cambria Math" w:hAnsi="Cambria Math" w:cs="Cambria Math"/>
      </w:rPr>
    </w:lvl>
    <w:lvl w:ilvl="2" w:tentative="0">
      <w:start w:val="1"/>
      <w:numFmt w:val="bullet"/>
      <w:lvlText w:val=""/>
      <w:lvlJc w:val="left"/>
      <w:pPr>
        <w:ind w:left="720" w:hanging="360"/>
      </w:pPr>
      <w:rPr>
        <w:rFonts w:hint="default" w:ascii="Georgia" w:hAnsi="Georgia"/>
      </w:rPr>
    </w:lvl>
    <w:lvl w:ilvl="3" w:tentative="0">
      <w:start w:val="1"/>
      <w:numFmt w:val="bullet"/>
      <w:lvlText w:val=""/>
      <w:lvlJc w:val="left"/>
      <w:pPr>
        <w:ind w:left="2880" w:hanging="360"/>
      </w:pPr>
      <w:rPr>
        <w:rFonts w:hint="default" w:ascii="Wingdings" w:hAnsi="Wingdings"/>
      </w:rPr>
    </w:lvl>
    <w:lvl w:ilvl="4" w:tentative="0">
      <w:start w:val="1"/>
      <w:numFmt w:val="bullet"/>
      <w:lvlText w:val="o"/>
      <w:lvlJc w:val="left"/>
      <w:pPr>
        <w:ind w:left="3600" w:hanging="360"/>
      </w:pPr>
      <w:rPr>
        <w:rFonts w:hint="default" w:ascii="Cambria Math" w:hAnsi="Cambria Math" w:cs="Cambria Math"/>
      </w:rPr>
    </w:lvl>
    <w:lvl w:ilvl="5" w:tentative="0">
      <w:start w:val="1"/>
      <w:numFmt w:val="bullet"/>
      <w:lvlText w:val=""/>
      <w:lvlJc w:val="left"/>
      <w:pPr>
        <w:ind w:left="4320" w:hanging="360"/>
      </w:pPr>
      <w:rPr>
        <w:rFonts w:hint="default" w:ascii="Georgia" w:hAnsi="Georgia"/>
      </w:rPr>
    </w:lvl>
    <w:lvl w:ilvl="6" w:tentative="0">
      <w:start w:val="1"/>
      <w:numFmt w:val="bullet"/>
      <w:lvlText w:val=""/>
      <w:lvlJc w:val="left"/>
      <w:pPr>
        <w:ind w:left="5040" w:hanging="360"/>
      </w:pPr>
      <w:rPr>
        <w:rFonts w:hint="default" w:ascii="Wingdings" w:hAnsi="Wingdings"/>
      </w:rPr>
    </w:lvl>
    <w:lvl w:ilvl="7" w:tentative="0">
      <w:start w:val="1"/>
      <w:numFmt w:val="bullet"/>
      <w:lvlText w:val="o"/>
      <w:lvlJc w:val="left"/>
      <w:pPr>
        <w:ind w:left="5760" w:hanging="360"/>
      </w:pPr>
      <w:rPr>
        <w:rFonts w:hint="default" w:ascii="Cambria Math" w:hAnsi="Cambria Math" w:cs="Cambria Math"/>
      </w:rPr>
    </w:lvl>
    <w:lvl w:ilvl="8" w:tentative="0">
      <w:start w:val="1"/>
      <w:numFmt w:val="bullet"/>
      <w:lvlText w:val=""/>
      <w:lvlJc w:val="left"/>
      <w:pPr>
        <w:ind w:left="6480" w:hanging="360"/>
      </w:pPr>
      <w:rPr>
        <w:rFonts w:hint="default" w:ascii="Georgia" w:hAnsi="Georgia"/>
      </w:rPr>
    </w:lvl>
  </w:abstractNum>
  <w:abstractNum w:abstractNumId="2">
    <w:nsid w:val="510A258A"/>
    <w:multiLevelType w:val="multilevel"/>
    <w:tmpl w:val="510A258A"/>
    <w:lvl w:ilvl="0" w:tentative="0">
      <w:start w:val="1"/>
      <w:numFmt w:val="decimal"/>
      <w:lvlText w:val="(%1)"/>
      <w:lvlJc w:val="left"/>
      <w:pPr>
        <w:ind w:left="1110" w:hanging="360"/>
      </w:pPr>
      <w:rPr>
        <w:rFonts w:hint="default" w:ascii="Arial" w:hAnsi="Arial" w:cs="Arial"/>
        <w:b/>
      </w:rPr>
    </w:lvl>
    <w:lvl w:ilvl="1" w:tentative="0">
      <w:start w:val="1"/>
      <w:numFmt w:val="lowerLetter"/>
      <w:lvlText w:val="%2."/>
      <w:lvlJc w:val="left"/>
      <w:pPr>
        <w:ind w:left="1830" w:hanging="360"/>
      </w:pPr>
    </w:lvl>
    <w:lvl w:ilvl="2" w:tentative="0">
      <w:start w:val="1"/>
      <w:numFmt w:val="lowerRoman"/>
      <w:lvlText w:val="%3."/>
      <w:lvlJc w:val="right"/>
      <w:pPr>
        <w:ind w:left="2550" w:hanging="180"/>
      </w:pPr>
    </w:lvl>
    <w:lvl w:ilvl="3" w:tentative="0">
      <w:start w:val="1"/>
      <w:numFmt w:val="decimal"/>
      <w:lvlText w:val="%4."/>
      <w:lvlJc w:val="left"/>
      <w:pPr>
        <w:ind w:left="3270" w:hanging="360"/>
      </w:pPr>
    </w:lvl>
    <w:lvl w:ilvl="4" w:tentative="0">
      <w:start w:val="1"/>
      <w:numFmt w:val="lowerLetter"/>
      <w:lvlText w:val="%5."/>
      <w:lvlJc w:val="left"/>
      <w:pPr>
        <w:ind w:left="3990" w:hanging="360"/>
      </w:pPr>
    </w:lvl>
    <w:lvl w:ilvl="5" w:tentative="0">
      <w:start w:val="1"/>
      <w:numFmt w:val="lowerRoman"/>
      <w:lvlText w:val="%6."/>
      <w:lvlJc w:val="right"/>
      <w:pPr>
        <w:ind w:left="4710" w:hanging="180"/>
      </w:pPr>
    </w:lvl>
    <w:lvl w:ilvl="6" w:tentative="0">
      <w:start w:val="1"/>
      <w:numFmt w:val="decimal"/>
      <w:lvlText w:val="%7."/>
      <w:lvlJc w:val="left"/>
      <w:pPr>
        <w:ind w:left="5430" w:hanging="360"/>
      </w:pPr>
    </w:lvl>
    <w:lvl w:ilvl="7" w:tentative="0">
      <w:start w:val="1"/>
      <w:numFmt w:val="lowerLetter"/>
      <w:lvlText w:val="%8."/>
      <w:lvlJc w:val="left"/>
      <w:pPr>
        <w:ind w:left="6150" w:hanging="360"/>
      </w:pPr>
    </w:lvl>
    <w:lvl w:ilvl="8" w:tentative="0">
      <w:start w:val="1"/>
      <w:numFmt w:val="lowerRoman"/>
      <w:lvlText w:val="%9."/>
      <w:lvlJc w:val="right"/>
      <w:pPr>
        <w:ind w:left="6870" w:hanging="180"/>
      </w:pPr>
    </w:lvl>
  </w:abstractNum>
  <w:abstractNum w:abstractNumId="3">
    <w:nsid w:val="7CCE2C38"/>
    <w:multiLevelType w:val="multilevel"/>
    <w:tmpl w:val="7CCE2C38"/>
    <w:lvl w:ilvl="0" w:tentative="0">
      <w:start w:val="1"/>
      <w:numFmt w:val="decimal"/>
      <w:lvlText w:val="%1-"/>
      <w:lvlJc w:val="left"/>
      <w:pPr>
        <w:ind w:left="294" w:hanging="360"/>
      </w:pPr>
      <w:rPr>
        <w:rFonts w:hint="default"/>
      </w:rPr>
    </w:lvl>
    <w:lvl w:ilvl="1" w:tentative="0">
      <w:start w:val="1"/>
      <w:numFmt w:val="lowerLetter"/>
      <w:lvlText w:val="%2."/>
      <w:lvlJc w:val="left"/>
      <w:pPr>
        <w:ind w:left="1014" w:hanging="360"/>
      </w:pPr>
    </w:lvl>
    <w:lvl w:ilvl="2" w:tentative="0">
      <w:start w:val="1"/>
      <w:numFmt w:val="lowerRoman"/>
      <w:lvlText w:val="%3."/>
      <w:lvlJc w:val="right"/>
      <w:pPr>
        <w:ind w:left="1734" w:hanging="180"/>
      </w:pPr>
    </w:lvl>
    <w:lvl w:ilvl="3" w:tentative="0">
      <w:start w:val="1"/>
      <w:numFmt w:val="decimal"/>
      <w:lvlText w:val="%4."/>
      <w:lvlJc w:val="left"/>
      <w:pPr>
        <w:ind w:left="2454" w:hanging="360"/>
      </w:pPr>
    </w:lvl>
    <w:lvl w:ilvl="4" w:tentative="0">
      <w:start w:val="1"/>
      <w:numFmt w:val="lowerLetter"/>
      <w:lvlText w:val="%5."/>
      <w:lvlJc w:val="left"/>
      <w:pPr>
        <w:ind w:left="3174" w:hanging="360"/>
      </w:pPr>
    </w:lvl>
    <w:lvl w:ilvl="5" w:tentative="0">
      <w:start w:val="1"/>
      <w:numFmt w:val="lowerRoman"/>
      <w:lvlText w:val="%6."/>
      <w:lvlJc w:val="right"/>
      <w:pPr>
        <w:ind w:left="3894" w:hanging="180"/>
      </w:pPr>
    </w:lvl>
    <w:lvl w:ilvl="6" w:tentative="0">
      <w:start w:val="1"/>
      <w:numFmt w:val="decimal"/>
      <w:lvlText w:val="%7."/>
      <w:lvlJc w:val="left"/>
      <w:pPr>
        <w:ind w:left="4614" w:hanging="360"/>
      </w:pPr>
    </w:lvl>
    <w:lvl w:ilvl="7" w:tentative="0">
      <w:start w:val="1"/>
      <w:numFmt w:val="lowerLetter"/>
      <w:lvlText w:val="%8."/>
      <w:lvlJc w:val="left"/>
      <w:pPr>
        <w:ind w:left="5334" w:hanging="360"/>
      </w:pPr>
    </w:lvl>
    <w:lvl w:ilvl="8" w:tentative="0">
      <w:start w:val="1"/>
      <w:numFmt w:val="lowerRoman"/>
      <w:lvlText w:val="%9."/>
      <w:lvlJc w:val="right"/>
      <w:pPr>
        <w:ind w:left="6054"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7638"/>
    <w:rsid w:val="010B2713"/>
    <w:rsid w:val="24D27638"/>
    <w:rsid w:val="38623BB8"/>
    <w:rsid w:val="616B5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Symbol" w:hAnsi="Symbol" w:eastAsia="Symbol" w:cs="Symbol"/>
      <w:kern w:val="0"/>
      <w:sz w:val="20"/>
      <w:szCs w:val="20"/>
      <w:lang w:val="sv-SE" w:eastAsia="en-US" w:bidi="ar-SA"/>
      <w14:ligatures w14:val="none"/>
    </w:rPr>
  </w:style>
  <w:style w:type="paragraph" w:styleId="2">
    <w:name w:val="heading 3"/>
    <w:basedOn w:val="1"/>
    <w:next w:val="1"/>
    <w:qFormat/>
    <w:uiPriority w:val="0"/>
    <w:pPr>
      <w:keepNext/>
      <w:outlineLvl w:val="2"/>
    </w:pPr>
    <w:rPr>
      <w:b/>
      <w:sz w:val="24"/>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qFormat/>
    <w:uiPriority w:val="0"/>
    <w:rPr>
      <w:color w:val="0000FF"/>
      <w:u w:val="single"/>
    </w:rPr>
  </w:style>
  <w:style w:type="paragraph" w:styleId="8">
    <w:name w:val="Normal (Web)"/>
    <w:basedOn w:val="1"/>
    <w:semiHidden/>
    <w:unhideWhenUsed/>
    <w:qFormat/>
    <w:uiPriority w:val="99"/>
    <w:pPr>
      <w:spacing w:before="100" w:beforeAutospacing="1" w:after="100" w:afterAutospacing="1"/>
    </w:pPr>
    <w:rPr>
      <w:rFonts w:ascii="Times New Roman" w:hAnsi="Times New Roman" w:eastAsia="Times New Roman" w:cs="Times New Roman"/>
      <w:sz w:val="24"/>
      <w:szCs w:val="24"/>
      <w:lang w:val="en-US"/>
    </w:rPr>
  </w:style>
  <w:style w:type="character" w:styleId="9">
    <w:name w:val="Strong"/>
    <w:basedOn w:val="4"/>
    <w:qFormat/>
    <w:uiPriority w:val="0"/>
    <w:rPr>
      <w:b/>
      <w:bCs/>
    </w:rPr>
  </w:style>
  <w:style w:type="paragraph" w:styleId="10">
    <w:name w:val="List Paragraph"/>
    <w:basedOn w:val="1"/>
    <w:qFormat/>
    <w:uiPriority w:val="0"/>
    <w:pPr>
      <w:ind w:left="720"/>
      <w:contextualSpacing/>
    </w:pPr>
  </w:style>
  <w:style w:type="paragraph" w:customStyle="1" w:styleId="11">
    <w:name w:val="1st line w/space"/>
    <w:basedOn w:val="1"/>
    <w:qFormat/>
    <w:uiPriority w:val="0"/>
    <w:pPr>
      <w:spacing w:before="120"/>
    </w:pPr>
    <w:rPr>
      <w:rFonts w:ascii="Courier New" w:hAnsi="Courier New"/>
      <w:bCs/>
      <w:szCs w:val="24"/>
      <w:lang w:val="en-US"/>
    </w:rPr>
  </w:style>
  <w:style w:type="character" w:customStyle="1" w:styleId="12">
    <w:name w:val="Heading 2 Char"/>
    <w:qFormat/>
    <w:uiPriority w:val="0"/>
    <w:rPr>
      <w:rFonts w:ascii="Courier New" w:hAnsi="Courier New"/>
      <w:b/>
      <w:bCs/>
      <w:szCs w:val="24"/>
      <w:lang w:val="en-US" w:eastAsia="en-US" w:bidi="ar-SA"/>
    </w:rPr>
  </w:style>
  <w:style w:type="paragraph" w:customStyle="1" w:styleId="13">
    <w:name w:val="Default"/>
    <w:qFormat/>
    <w:uiPriority w:val="0"/>
    <w:pPr>
      <w:autoSpaceDE w:val="0"/>
      <w:autoSpaceDN w:val="0"/>
      <w:adjustRightInd w:val="0"/>
      <w:spacing w:after="0" w:line="240" w:lineRule="auto"/>
    </w:pPr>
    <w:rPr>
      <w:rFonts w:ascii="Arial" w:hAnsi="Arial" w:eastAsia="Garamond" w:cs="Arial"/>
      <w:color w:val="000000"/>
      <w:kern w:val="0"/>
      <w:sz w:val="24"/>
      <w:szCs w:val="24"/>
      <w:lang w:val="en-US" w:eastAsia="en-US" w:bidi="ar-SA"/>
      <w14:ligatures w14:val="none"/>
    </w:rPr>
  </w:style>
  <w:style w:type="character" w:customStyle="1" w:styleId="14">
    <w:name w:val="text-meta"/>
    <w:qFormat/>
    <w:uiPriority w:val="0"/>
  </w:style>
  <w:style w:type="character" w:customStyle="1" w:styleId="15">
    <w:name w:val="apple-style-span"/>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132</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2025-10-15T13:33:00Z</dcterms:created>
  <dc:creator>Waqar Rauf</dc:creator>
  <cp:lastModifiedBy>Waqar Rauf</cp:lastModifiedBy>
  <dcterms:modified xsi:type="dcterms:W3CDTF">2025-10-16T10:06:05Z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F8E31AE254BD4FFDBAB0AFB3DB5C1CA0_13</vt:lpwstr>
  </property>
</Properties>
</file>